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身份认证、权限与信任边界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04-security/01-authentication-and-trust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访问与角色</w:t>
      </w:r>
    </w:p>
    <w:p>
      <w:pPr/>
      <w:r>
        <w:rPr>
          <w:rFonts w:ascii="Noto Sans CJK SC" w:hAnsi="Noto Sans CJK SC" w:eastAsia="Noto Sans CJK SC"/>
          <w:b w:val="0"/>
          <w:sz w:val="18"/>
        </w:rPr>
        <w:t>Web 仅通过家庭 LAN 与 Tailnet 访问，不直接暴露公网。局域网和 Tailscale 使用同一套 Homelab Monitor 本地账号和服务端 Session；首次初始化由本机创建 Owner，后续注册必须由 Owner 管理。第一版包含 Owner 与 Viewer：Viewer 能查看获授权汇总与个人布局，不可修改采样、存储、插件、凭据或查看敏感连接详情。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独立的三类身份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cantSplit/>
          <w:tblHeader w:val="true"/>
        </w:trPr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身份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职责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绝不能共用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Human User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Web 登录、规则管理、Dashboard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Agent 凭据、SSH 密钥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Agent Identity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N1/Alienware 上报、配置对账、插件下载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Owner Session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Remote Credential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Server 到 Newifi 的限权读取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主机管理员通用密钥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Web Session</w:t>
      </w:r>
    </w:p>
    <w:p>
      <w:pPr/>
      <w:r>
        <w:rPr>
          <w:rFonts w:ascii="Noto Sans CJK SC" w:hAnsi="Noto Sans CJK SC" w:eastAsia="Noto Sans CJK SC"/>
          <w:b w:val="0"/>
          <w:sz w:val="18"/>
        </w:rPr>
        <w:t>推荐服务端 Session，密码用 Argon2id；浏览器采用 Secure、HttpOnly、SameSite Cookie，修改 API 防 CSRF、校验 Origin。登录速率限制、主动会话撤销、敏感操作再认证、设备会话列表、最后 Owner 保护都属于基础安全能力。跨不同 HTTPS Origin 不承诺 Cookie 自动共享，但账号数据库一致。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Agent 网络认证（推荐）</w:t>
      </w:r>
    </w:p>
    <w:p>
      <w:pPr/>
      <w:r>
        <w:rPr>
          <w:rFonts w:ascii="Noto Sans CJK SC" w:hAnsi="Noto Sans CJK SC" w:eastAsia="Noto Sans CJK SC"/>
          <w:b w:val="0"/>
          <w:sz w:val="18"/>
        </w:rPr>
        <w:t>TLS 强制验证 Server 身份；首版采用独立设备 Token（强随机、权限范围绑定、可撤销轮换），逐步支持 mTLS 的双向认证。一次性 enrollment token 仅用于设备初次获批注册。所有请求须授权到 Device ID 和相应 API，不允许枚举其他设备数据。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Plugin 权限</w:t>
      </w:r>
    </w:p>
    <w:p>
      <w:pPr/>
      <w:r>
        <w:rPr>
          <w:rFonts w:ascii="Noto Sans CJK SC" w:hAnsi="Noto Sans CJK SC" w:eastAsia="Noto Sans CJK SC"/>
          <w:b w:val="0"/>
          <w:sz w:val="18"/>
        </w:rPr>
        <w:t>插件系统本地 RPC、操作系统权限与 Server 控制权限彼此分离。原生独立进程不可视为绝对沙箱；危险插件需要严格来源授权、资源限制及最小文件/网络访问。插件无权直接获取用户 Session、Agent Token 或 Newifi 私钥。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管理操作与审计</w:t>
      </w:r>
    </w:p>
    <w:p>
      <w:pPr/>
      <w:r>
        <w:rPr>
          <w:rFonts w:ascii="Noto Sans CJK SC" w:hAnsi="Noto Sans CJK SC" w:eastAsia="Noto Sans CJK SC"/>
          <w:b w:val="0"/>
          <w:sz w:val="18"/>
        </w:rPr>
        <w:t>插件安装/升级、密钥轮换、规则发布/回滚、身份合并拆分、敏感诊断开启及历史删除需审计。日志不得记录密码、Token、SSH 私钥、完整 Push Endpoint 或敏感连接载荷。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HTTPS 与现有服务</w:t>
      </w:r>
    </w:p>
    <w:p>
      <w:pPr/>
      <w:r>
        <w:rPr>
          <w:rFonts w:ascii="Noto Sans CJK SC" w:hAnsi="Noto Sans CJK SC" w:eastAsia="Noto Sans CJK SC"/>
          <w:b w:val="0"/>
          <w:sz w:val="18"/>
        </w:rPr>
        <w:t>LAN 提供可信 HTTPS，Tailnet 利用受控 HTTPS 入口；具体域名证书和反向代理方案待实施核对。Alienware 既有 Tailscale Serve 443 为 CouchDB 服务的配置不能被新 Web 覆盖。PWA 推送接收不要求 Web 公网入站端口。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身份认证、权限与信任边界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