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Newifi D2 远程只读采集安全边界</w:t>
      </w:r>
    </w:p>
    <w:p>
      <w:pPr>
        <w:spacing w:after="240"/>
      </w:pPr>
      <w:r>
        <w:rPr>
          <w:rFonts w:ascii="Noto Sans CJK SC" w:hAnsi="Noto Sans CJK SC" w:eastAsia="Noto Sans CJK SC"/>
          <w:b w:val="0"/>
          <w:color w:val="68727E"/>
          <w:sz w:val="15"/>
        </w:rPr>
        <w:t>ARCHITECTURE PLANNING  ·  04-security/02-openwrt-readonly-collection  ·  2026-10-17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8C5B2E"/>
          <w:sz w:val="16"/>
        </w:rPr>
        <w:t>规划文档 · 尚未实施 · 已确认决策与按推荐采纳的方案在决策台账中分列。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设备职责与架构边界</w:t>
      </w:r>
    </w:p>
    <w:p>
      <w:pPr/>
      <w:r>
        <w:rPr>
          <w:rFonts w:ascii="Noto Sans CJK SC" w:hAnsi="Noto Sans CJK SC" w:eastAsia="Noto Sans CJK SC"/>
          <w:b w:val="0"/>
          <w:sz w:val="18"/>
        </w:rPr>
        <w:t>Newifi D2/OpenWrt 192.168.10.1 负责 NAT、DHCP、Wi-Fi、主路由。首版默认不运行常驻 Go Agent，不写入历史数据库，不增加监控转发依赖。Alienware 远程 Plugin Host 执行少量合并、限频的只读查询。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现有可验证指标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Bridge 端口编号 lan1=0x1、lan3=0x3，对应 Alienware / N1；lan2/lan4 当前无物理载波。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Wi-Fi phy0-ap0 2.4GHz、phy1-ap0 5GHz 可读取 Station 的 RX/TX、signal、bitrate、retries、failed、connected_time 等。</w:t>
      </w:r>
    </w:p>
    <w:p>
      <w:pPr>
        <w:pStyle w:val="ListBullet"/>
        <w:spacing w:after="60"/>
        <w:ind w:left="312"/>
      </w:pPr>
      <w:r>
        <w:rPr>
          <w:rFonts w:ascii="Noto Sans Mono CJK SC" w:hAnsi="Noto Sans Mono CJK SC" w:eastAsia="Noto Sans Mono CJK SC"/>
          <w:b w:val="0"/>
          <w:color w:val="235066"/>
          <w:sz w:val="17"/>
        </w:rPr>
        <w:t>/sys/class/net/&lt;if&gt;/statistics</w:t>
      </w:r>
      <w:r>
        <w:rPr>
          <w:rFonts w:ascii="Noto Sans CJK SC" w:hAnsi="Noto Sans CJK SC" w:eastAsia="Noto Sans CJK SC"/>
          <w:b w:val="0"/>
          <w:sz w:val="18"/>
        </w:rPr>
        <w:t>、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carrier</w:t>
      </w:r>
      <w:r>
        <w:rPr>
          <w:rFonts w:ascii="Noto Sans CJK SC" w:hAnsi="Noto Sans CJK SC" w:eastAsia="Noto Sans CJK SC"/>
          <w:b w:val="0"/>
          <w:sz w:val="18"/>
        </w:rPr>
        <w:t xml:space="preserve">、Bridge FDB、ARP、DHCP 租约及 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iwinfo</w:t>
      </w:r>
      <w:r>
        <w:rPr>
          <w:rFonts w:ascii="Noto Sans CJK SC" w:hAnsi="Noto Sans CJK SC" w:eastAsia="Noto Sans CJK SC"/>
          <w:b w:val="0"/>
          <w:sz w:val="18"/>
        </w:rPr>
        <w:t xml:space="preserve"> 为候选数据源；读取时仍有负载，频率待实测。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授权策略（已确认）</w:t>
      </w:r>
    </w:p>
    <w:p>
      <w:pPr/>
      <w:r>
        <w:rPr>
          <w:rFonts w:ascii="Noto Sans CJK SC" w:hAnsi="Noto Sans CJK SC" w:eastAsia="Noto Sans CJK SC"/>
          <w:b w:val="0"/>
          <w:sz w:val="18"/>
        </w:rPr>
        <w:t>使用专用的监控访问身份和凭据，与 root 管理权限分离；优先评估受限 SSH 强制命令及固定采集白名单，其次评估带 ACL 的 ubus/rpcd 只读 API。必须实机核实 Dropbear 是否支持相关限制；不能只将 root authorized_keys 写成“只读”就假定具有 OS 级最小权限。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通信与执行限制</w:t>
      </w:r>
    </w:p>
    <w:p>
      <w:pPr/>
      <w:r>
        <w:rPr>
          <w:rFonts w:ascii="Noto Sans CJK SC" w:hAnsi="Noto Sans CJK SC" w:eastAsia="Noto Sans CJK SC"/>
          <w:b w:val="0"/>
          <w:sz w:val="18"/>
        </w:rPr>
        <w:t>单机有界并发、少量合并查询、截止时间、受限输出长度和失败退避；禁止交互 Shell、SSH 转发、任意命令参数注入。禁止为了监控自动修改网络、防火墙、Wi-Fi、flow offload 或安装长期运行的管理 API。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数据来源与归属</w:t>
      </w:r>
    </w:p>
    <w:p>
      <w:pPr/>
      <w:r>
        <w:rPr>
          <w:rFonts w:ascii="Noto Sans CJK SC" w:hAnsi="Noto Sans CJK SC" w:eastAsia="Noto Sans CJK SC"/>
          <w:b w:val="0"/>
          <w:sz w:val="18"/>
        </w:rPr>
        <w:t>端口 Counter 反映物理链路，不直接归属到互联网设备账本；Wi-Fi Station 是 AP 侧的累计量，会因重连重置，且包含本地传输。设备归属由 Server 的 Identity/Flow 统一完成。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实施前验证清单</w:t>
      </w:r>
    </w:p>
    <w:p>
      <w:pPr/>
      <w:r>
        <w:rPr>
          <w:rFonts w:ascii="Noto Sans CJK SC" w:hAnsi="Noto Sans CJK SC" w:eastAsia="Noto Sans CJK SC"/>
          <w:b w:val="0"/>
          <w:sz w:val="18"/>
        </w:rPr>
        <w:t>确认受限权限模型、现有 SSH 服务性能与建连成本、批量命令持续耗时、查询频率上限、查询期间 NAT/Wi-Fi 的 p95 延迟及丢包变化，必须具备停止采集与撤销凭据的回滚流程。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49" w:right="1134" w:bottom="1020" w:left="1219" w:header="397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382"/>
        <w:sz w:val="14"/>
      </w:rPr>
      <w:t>Homelab Monitor  |  Architecture Docs  |  2026-10-17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406C84"/>
        <w:sz w:val="14"/>
      </w:rPr>
      <w:t>HOMELAB MONITOR  /  ARCHITECTURE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8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85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Newifi D2 远程只读采集安全边界</dc:title>
  <dc:subject>Homelab Monitor architecture planning</dc:subject>
  <dc:creator>Homelab Monitor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