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资源预算、故障隔离与验收框架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07-operations/01-resource-budgets-and-safety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安全优先级</w:t>
      </w:r>
    </w:p>
    <w:p>
      <w:pPr/>
      <w:r>
        <w:rPr>
          <w:rFonts w:ascii="Noto Sans CJK SC" w:hAnsi="Noto Sans CJK SC" w:eastAsia="Noto Sans CJK SC"/>
          <w:b w:val="0"/>
          <w:sz w:val="18"/>
        </w:rPr>
        <w:t>P0 原始业务 (Newifi NAT/Wi-Fi、N1 sing-box/Exit Node、Alienware 现有服务/HDD 休眠) &gt; P1 核心采集 &gt; P2 诊断/历史回放/复杂 Widget。不能因监控增加网络转发的必要依赖。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分设备预算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节点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主要风险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架构守护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D2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SSH/iw 多次查询、Flash 写入、路由处理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无常驻 Agent；聚合低频只读；限时与串行执行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Agent/多 Plugin Runtime 占 CPU/RSS、影响代理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系统级资源限制、低优先级调度、熔断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Alienware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数据库写入、历史回放、Widget 查询、HDD 唤醒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SSD 数据、查询并发上限、分层清理、休眠保护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工程测量</w:t>
      </w:r>
    </w:p>
    <w:p>
      <w:pPr/>
      <w:r>
        <w:rPr>
          <w:rFonts w:ascii="Noto Sans CJK SC" w:hAnsi="Noto Sans CJK SC" w:eastAsia="Noto Sans CJK SC"/>
          <w:b w:val="0"/>
          <w:sz w:val="18"/>
        </w:rPr>
        <w:t>采集成本：单次耗时、CPU 时间、RSS、FD、返回字节、失败次数。主业务影响：WAN/LAN 延迟、吞吐、错包增长、代理连接成功率、Exit Node 连通性、现有服务 p95 响应。候选阈值只能由真实环境基线和重复测试确定，不固定写死。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自动降级顺序</w:t>
      </w:r>
    </w:p>
    <w:p>
      <w:pPr/>
      <w:r>
        <w:rPr>
          <w:rFonts w:ascii="Noto Sans CJK SC" w:hAnsi="Noto Sans CJK SC" w:eastAsia="Noto Sans CJK SC"/>
          <w:b w:val="0"/>
          <w:sz w:val="18"/>
        </w:rPr>
        <w:t>暂停限时连接诊断/历史回放 → 降低低优先级采集 → 限制存储写入/清理 → 隔离异常插件 → 必要时停止监控 Agent；不得停用 sing-box、Tailscale、NAT、DHCP 或 Wi-Fi。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自动化验收矩阵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cantSplit/>
          <w:tblHeader w:val="true"/>
        </w:trPr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场景</w:t>
            </w:r>
          </w:p>
        </w:tc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验收原则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Plugin 崩溃/OOM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 自身与网络本职服务保持正常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插件升级失败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旧版本可恢复或安全停止插件；无无限重启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 关机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不缓存/补录历史，网络与代理独立运行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新增 100 条规则（负载测试规模）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N1/Newifi 采样任务次数不变化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并发打开大量 Widget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查询降级，不触发设备侧新任务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指标库达配额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分层淘汰、硬保护，系统 SSD 不被填满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HDD 休眠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不被指标、SMART 或回放任务唤醒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性能验收策略</w:t>
      </w:r>
    </w:p>
    <w:p>
      <w:pPr/>
      <w:r>
        <w:rPr>
          <w:rFonts w:ascii="Noto Sans CJK SC" w:hAnsi="Noto Sans CJK SC" w:eastAsia="Noto Sans CJK SC"/>
          <w:b w:val="0"/>
          <w:sz w:val="18"/>
        </w:rPr>
        <w:t>先非侵入式观测正常业务，建立基线；用模拟插件、伪数据和隔离测试环境验证故障处理；需要主动吞吐或压测时，另由 Owner 审批维护窗口和可回滚方案。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资源预算、故障隔离与验收框架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