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交付、升级、部署及回滚边界</w:t>
      </w:r>
    </w:p>
    <w:p>
      <w:pPr>
        <w:spacing w:after="240"/>
      </w:pPr>
      <w:r>
        <w:rPr>
          <w:rFonts w:ascii="Noto Sans CJK SC" w:hAnsi="Noto Sans CJK SC" w:eastAsia="Noto Sans CJK SC"/>
          <w:b w:val="0"/>
          <w:color w:val="68727E"/>
          <w:sz w:val="15"/>
        </w:rPr>
        <w:t>ARCHITECTURE PLANNING  ·  07-operations/02-release-rollout-and-compatibility  ·  2026-10-17</w:t>
      </w:r>
    </w:p>
    <w:p>
      <w:pPr>
        <w:spacing w:after="200"/>
      </w:pPr>
      <w:r>
        <w:rPr>
          <w:rFonts w:ascii="Noto Sans CJK SC" w:hAnsi="Noto Sans CJK SC" w:eastAsia="Noto Sans CJK SC"/>
          <w:b/>
          <w:color w:val="8C5B2E"/>
          <w:sz w:val="16"/>
        </w:rPr>
        <w:t>规划文档 · 尚未实施 · 已确认决策与按推荐采纳的方案在决策台账中分列。</w:t>
      </w:r>
    </w:p>
    <w:p>
      <w:pPr>
        <w:pStyle w:val="Heading1"/>
      </w:pPr>
      <w:r>
        <w:rPr>
          <w:rFonts w:ascii="Noto Sans CJK SC" w:hAnsi="Noto Sans CJK SC" w:eastAsia="Noto Sans CJK SC"/>
          <w:b w:val="0"/>
          <w:sz w:val="26"/>
        </w:rPr>
        <w:t>与现有仓库关系</w:t>
      </w:r>
    </w:p>
    <w:p>
      <w:pPr/>
      <w:r>
        <w:rPr>
          <w:rFonts w:ascii="Noto Sans CJK SC" w:hAnsi="Noto Sans CJK SC" w:eastAsia="Noto Sans CJK SC"/>
          <w:b w:val="0"/>
          <w:sz w:val="18"/>
        </w:rPr>
        <w:t xml:space="preserve">已知仓库 </w:t>
      </w:r>
      <w:r>
        <w:rPr>
          <w:rFonts w:ascii="Noto Sans Mono CJK SC" w:hAnsi="Noto Sans Mono CJK SC" w:eastAsia="Noto Sans Mono CJK SC"/>
          <w:b w:val="0"/>
          <w:color w:val="235066"/>
          <w:sz w:val="17"/>
        </w:rPr>
        <w:t>homelab-monitor</w:t>
      </w:r>
      <w:r>
        <w:rPr>
          <w:rFonts w:ascii="Noto Sans CJK SC" w:hAnsi="Noto Sans CJK SC" w:eastAsia="Noto Sans CJK SC"/>
          <w:b w:val="0"/>
          <w:sz w:val="18"/>
        </w:rPr>
        <w:t xml:space="preserve"> 含 cmd/agent、cmd/server、internal/agent、internal/server、configs、deployments/systemd、web 及已有 docs 文件。新文档为未来架构基线，不意味着代码已符合设计，也不覆盖 AGENTS.md/旧 Phase 1 文档。实施前应重新检查实际仓库状态、未提交改动、现有 API 契约与 systemd 单元。</w:t>
      </w:r>
    </w:p>
    <w:p>
      <w:pPr>
        <w:pStyle w:val="Heading1"/>
      </w:pPr>
      <w:r>
        <w:rPr>
          <w:rFonts w:ascii="Noto Sans CJK SC" w:hAnsi="Noto Sans CJK SC" w:eastAsia="Noto Sans CJK SC"/>
          <w:b w:val="0"/>
          <w:sz w:val="26"/>
        </w:rPr>
        <w:t>发布单位</w:t>
      </w:r>
    </w:p>
    <w:tbl>
      <w:tblPr>
        <w:tblStyle w:val="LightShading-Accent1"/>
        <w:tblW w:type="auto" w:w="0"/>
        <w:jc w:val="center"/>
        <w:tblLayout w:type="autofit"/>
        <w:tblLook w:firstColumn="1" w:firstRow="1" w:lastColumn="0" w:lastRow="0" w:noHBand="0" w:noVBand="1" w:val="04A0"/>
      </w:tblPr>
      <w:tblGrid>
        <w:gridCol w:w="4943"/>
        <w:gridCol w:w="4943"/>
      </w:tblGrid>
      <w:tr>
        <w:trPr>
          <w:cantSplit/>
          <w:tblHeader w:val="true"/>
        </w:trPr>
        <w:tc>
          <w:tcPr>
            <w:tcW w:type="dxa" w:w="4943"/>
            <w:vAlign w:val="center"/>
            <w:shd w:fill="E8F1F6"/>
          </w:tcPr>
          <w:p>
            <w:pPr>
              <w:spacing w:after="36" w:before="36"/>
            </w:pPr>
            <w:r>
              <w:rPr>
                <w:rFonts w:ascii="Noto Sans CJK SC" w:hAnsi="Noto Sans CJK SC" w:eastAsia="Noto Sans CJK SC"/>
                <w:b/>
                <w:sz w:val="15"/>
              </w:rPr>
              <w:t>发布单元</w:t>
            </w:r>
          </w:p>
        </w:tc>
        <w:tc>
          <w:tcPr>
            <w:tcW w:type="dxa" w:w="4943"/>
            <w:vAlign w:val="center"/>
            <w:shd w:fill="E8F1F6"/>
          </w:tcPr>
          <w:p>
            <w:pPr>
              <w:spacing w:after="36" w:before="36"/>
            </w:pPr>
            <w:r>
              <w:rPr>
                <w:rFonts w:ascii="Noto Sans CJK SC" w:hAnsi="Noto Sans CJK SC" w:eastAsia="Noto Sans CJK SC"/>
                <w:b/>
                <w:sz w:val="15"/>
              </w:rPr>
              <w:t>升级路径</w:t>
            </w:r>
          </w:p>
        </w:tc>
      </w:tr>
      <w:tr>
        <w:trPr>
          <w:cantSplit/>
        </w:trPr>
        <w:tc>
          <w:tcPr>
            <w:tcW w:type="dxa" w:w="4943"/>
            <w:vAlign w:val="center"/>
          </w:tcPr>
          <w:p>
            <w:pPr>
              <w:spacing w:after="36" w:before="36"/>
            </w:pPr>
            <w:r>
              <w:rPr>
                <w:rFonts w:ascii="Noto Sans CJK SC" w:hAnsi="Noto Sans CJK SC" w:eastAsia="Noto Sans CJK SC"/>
                <w:b w:val="0"/>
                <w:sz w:val="15"/>
              </w:rPr>
              <w:t>Go Server</w:t>
            </w:r>
          </w:p>
        </w:tc>
        <w:tc>
          <w:tcPr>
            <w:tcW w:type="dxa" w:w="4943"/>
            <w:vAlign w:val="center"/>
          </w:tcPr>
          <w:p>
            <w:pPr>
              <w:spacing w:after="36" w:before="36"/>
            </w:pPr>
            <w:r>
              <w:rPr>
                <w:rFonts w:ascii="Noto Sans CJK SC" w:hAnsi="Noto Sans CJK SC" w:eastAsia="Noto Sans CJK SC"/>
                <w:b w:val="0"/>
                <w:sz w:val="15"/>
              </w:rPr>
              <w:t>Alienware 上独立版本、元数据迁移、重启验证</w:t>
            </w:r>
          </w:p>
        </w:tc>
      </w:tr>
      <w:tr>
        <w:trPr>
          <w:cantSplit/>
        </w:trPr>
        <w:tc>
          <w:tcPr>
            <w:tcW w:type="dxa" w:w="4943"/>
            <w:vAlign w:val="center"/>
          </w:tcPr>
          <w:p>
            <w:pPr>
              <w:spacing w:after="36" w:before="36"/>
            </w:pPr>
            <w:r>
              <w:rPr>
                <w:rFonts w:ascii="Noto Sans CJK SC" w:hAnsi="Noto Sans CJK SC" w:eastAsia="Noto Sans CJK SC"/>
                <w:b w:val="0"/>
                <w:sz w:val="15"/>
              </w:rPr>
              <w:t>Go Agent</w:t>
            </w:r>
          </w:p>
        </w:tc>
        <w:tc>
          <w:tcPr>
            <w:tcW w:type="dxa" w:w="4943"/>
            <w:vAlign w:val="center"/>
          </w:tcPr>
          <w:p>
            <w:pPr>
              <w:spacing w:after="36" w:before="36"/>
            </w:pPr>
            <w:r>
              <w:rPr>
                <w:rFonts w:ascii="Noto Sans CJK SC" w:hAnsi="Noto Sans CJK SC" w:eastAsia="Noto Sans CJK SC"/>
                <w:b w:val="0"/>
                <w:sz w:val="15"/>
              </w:rPr>
              <w:t>N1/Alienware 分目标平台发布，先验证再切换</w:t>
            </w:r>
          </w:p>
        </w:tc>
      </w:tr>
      <w:tr>
        <w:trPr>
          <w:cantSplit/>
        </w:trPr>
        <w:tc>
          <w:tcPr>
            <w:tcW w:type="dxa" w:w="4943"/>
            <w:vAlign w:val="center"/>
          </w:tcPr>
          <w:p>
            <w:pPr>
              <w:spacing w:after="36" w:before="36"/>
            </w:pPr>
            <w:r>
              <w:rPr>
                <w:rFonts w:ascii="Noto Sans CJK SC" w:hAnsi="Noto Sans CJK SC" w:eastAsia="Noto Sans CJK SC"/>
                <w:b w:val="0"/>
                <w:sz w:val="15"/>
              </w:rPr>
              <w:t>Plugin Packages</w:t>
            </w:r>
          </w:p>
        </w:tc>
        <w:tc>
          <w:tcPr>
            <w:tcW w:type="dxa" w:w="4943"/>
            <w:vAlign w:val="center"/>
          </w:tcPr>
          <w:p>
            <w:pPr>
              <w:spacing w:after="36" w:before="36"/>
            </w:pPr>
            <w:r>
              <w:rPr>
                <w:rFonts w:ascii="Noto Sans CJK SC" w:hAnsi="Noto Sans CJK SC" w:eastAsia="Noto Sans CJK SC"/>
                <w:b w:val="0"/>
                <w:sz w:val="15"/>
              </w:rPr>
              <w:t>独立版本与签名，Server 管理 + Agent 本地拉取</w:t>
            </w:r>
          </w:p>
        </w:tc>
      </w:tr>
      <w:tr>
        <w:trPr>
          <w:cantSplit/>
        </w:trPr>
        <w:tc>
          <w:tcPr>
            <w:tcW w:type="dxa" w:w="4943"/>
            <w:vAlign w:val="center"/>
          </w:tcPr>
          <w:p>
            <w:pPr>
              <w:spacing w:after="36" w:before="36"/>
            </w:pPr>
            <w:r>
              <w:rPr>
                <w:rFonts w:ascii="Noto Sans CJK SC" w:hAnsi="Noto Sans CJK SC" w:eastAsia="Noto Sans CJK SC"/>
                <w:b w:val="0"/>
                <w:sz w:val="15"/>
              </w:rPr>
              <w:t>Web App</w:t>
            </w:r>
          </w:p>
        </w:tc>
        <w:tc>
          <w:tcPr>
            <w:tcW w:type="dxa" w:w="4943"/>
            <w:vAlign w:val="center"/>
          </w:tcPr>
          <w:p>
            <w:pPr>
              <w:spacing w:after="36" w:before="36"/>
            </w:pPr>
            <w:r>
              <w:rPr>
                <w:rFonts w:ascii="Noto Sans CJK SC" w:hAnsi="Noto Sans CJK SC" w:eastAsia="Noto Sans CJK SC"/>
                <w:b w:val="0"/>
                <w:sz w:val="15"/>
              </w:rPr>
              <w:t>与 Server API 兼容性协调发布</w:t>
            </w:r>
          </w:p>
        </w:tc>
      </w:tr>
      <w:tr>
        <w:trPr>
          <w:cantSplit/>
        </w:trPr>
        <w:tc>
          <w:tcPr>
            <w:tcW w:type="dxa" w:w="4943"/>
            <w:vAlign w:val="center"/>
          </w:tcPr>
          <w:p>
            <w:pPr>
              <w:spacing w:after="36" w:before="36"/>
            </w:pPr>
            <w:r>
              <w:rPr>
                <w:rFonts w:ascii="Noto Sans CJK SC" w:hAnsi="Noto Sans CJK SC" w:eastAsia="Noto Sans CJK SC"/>
                <w:b w:val="0"/>
                <w:sz w:val="15"/>
              </w:rPr>
              <w:t>数据 Schema</w:t>
            </w:r>
          </w:p>
        </w:tc>
        <w:tc>
          <w:tcPr>
            <w:tcW w:type="dxa" w:w="4943"/>
            <w:vAlign w:val="center"/>
          </w:tcPr>
          <w:p>
            <w:pPr>
              <w:spacing w:after="36" w:before="36"/>
            </w:pPr>
            <w:r>
              <w:rPr>
                <w:rFonts w:ascii="Noto Sans CJK SC" w:hAnsi="Noto Sans CJK SC" w:eastAsia="Noto Sans CJK SC"/>
                <w:b w:val="0"/>
                <w:sz w:val="15"/>
              </w:rPr>
              <w:t>单独 version/migration + 可恢复备份</w:t>
            </w:r>
          </w:p>
        </w:tc>
      </w:tr>
    </w:tbl>
    <w:p>
      <w:pPr>
        <w:pStyle w:val="Heading1"/>
      </w:pPr>
      <w:r>
        <w:rPr>
          <w:rFonts w:ascii="Noto Sans CJK SC" w:hAnsi="Noto Sans CJK SC" w:eastAsia="Noto Sans CJK SC"/>
          <w:b w:val="0"/>
          <w:sz w:val="26"/>
        </w:rPr>
        <w:t>建议版本策略</w:t>
      </w:r>
    </w:p>
    <w:p>
      <w:pPr/>
      <w:r>
        <w:rPr>
          <w:rFonts w:ascii="Noto Sans CJK SC" w:hAnsi="Noto Sans CJK SC" w:eastAsia="Noto Sans CJK SC"/>
          <w:b w:val="0"/>
          <w:sz w:val="18"/>
        </w:rPr>
        <w:t>API、Agent 配置、Plugin RPC、Metrics Schema、Dashboard Layout、Alert Rule 均独立有稳定版本；不将所有对象强行绑定同一软件版本。Server 至少在约定的短兼容窗口支持旧 Agent/插件，具体长度实施阶段决定。</w:t>
      </w:r>
    </w:p>
    <w:p>
      <w:pPr>
        <w:pStyle w:val="Heading1"/>
      </w:pPr>
      <w:r>
        <w:rPr>
          <w:rFonts w:ascii="Noto Sans CJK SC" w:hAnsi="Noto Sans CJK SC" w:eastAsia="Noto Sans CJK SC"/>
          <w:b w:val="0"/>
          <w:sz w:val="26"/>
        </w:rPr>
        <w:t>渐进部署顺序</w:t>
      </w:r>
    </w:p>
    <w:p>
      <w:pPr/>
      <w:r>
        <w:rPr>
          <w:rFonts w:ascii="Noto Sans CJK SC" w:hAnsi="Noto Sans CJK SC" w:eastAsia="Noto Sans CJK SC"/>
          <w:b w:val="0"/>
          <w:sz w:val="18"/>
        </w:rPr>
        <w:t>现网只读审核 → Alienware Server 基础能力 → 本机 Agent/Plugin Host → N1 Agent 安全隔离验证 → 插件生命周期与升级回滚 → Newifi 受限只读采集 → 数据归属与 Web/告警。每一步先验收再扩大覆盖。</w:t>
      </w:r>
    </w:p>
    <w:p>
      <w:pPr>
        <w:pStyle w:val="Heading1"/>
      </w:pPr>
      <w:r>
        <w:rPr>
          <w:rFonts w:ascii="Noto Sans CJK SC" w:hAnsi="Noto Sans CJK SC" w:eastAsia="Noto Sans CJK SC"/>
          <w:b w:val="0"/>
          <w:sz w:val="26"/>
        </w:rPr>
        <w:t>回滚边界</w:t>
      </w:r>
    </w:p>
    <w:p>
      <w:pPr/>
      <w:r>
        <w:rPr>
          <w:rFonts w:ascii="Noto Sans CJK SC" w:hAnsi="Noto Sans CJK SC" w:eastAsia="Noto Sans CJK SC"/>
          <w:b w:val="0"/>
          <w:sz w:val="18"/>
        </w:rPr>
        <w:t>插件回滚不能改变网络服务配置；Agent 回滚需保留安全的认证凭据和插件安装清单；Server 回滚涉及数据库 Schema 时必须确认迁移兼容。生产系统需具备停止监控服务后仍可正常代理和路由的独立回滚手册。</w:t>
      </w:r>
    </w:p>
    <w:p>
      <w:pPr>
        <w:pStyle w:val="Heading1"/>
      </w:pPr>
      <w:r>
        <w:rPr>
          <w:rFonts w:ascii="Noto Sans CJK SC" w:hAnsi="Noto Sans CJK SC" w:eastAsia="Noto Sans CJK SC"/>
          <w:b w:val="0"/>
          <w:sz w:val="26"/>
        </w:rPr>
        <w:t>升级审计</w:t>
      </w:r>
    </w:p>
    <w:p>
      <w:pPr/>
      <w:r>
        <w:rPr>
          <w:rFonts w:ascii="Noto Sans CJK SC" w:hAnsi="Noto Sans CJK SC" w:eastAsia="Noto Sans CJK SC"/>
          <w:b w:val="0"/>
          <w:sz w:val="18"/>
        </w:rPr>
        <w:t>安装、升级、拒绝、回滚、权限变化、规则语义变更都记录可追踪 Revision。Web 发布版本回滚与设备插件部署回滚是不同的控制流程，不应混用命令或状态。</w:t>
      </w:r>
    </w:p>
    <w:sectPr w:rsidR="00FC693F" w:rsidRPr="0006063C" w:rsidSect="00034616">
      <w:footerReference w:type="default" r:id="rId9"/>
      <w:headerReference w:type="default" r:id="rId10"/>
      <w:pgSz w:w="12240" w:h="15840"/>
      <w:pgMar w:top="1049" w:right="1134" w:bottom="1020" w:left="1219" w:header="397"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b w:val="0"/>
        <w:color w:val="637382"/>
        <w:sz w:val="14"/>
      </w:rPr>
      <w:t>Homelab Monitor  |  Architecture Docs  |  2026-10-17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b/>
        <w:color w:val="406C84"/>
        <w:sz w:val="14"/>
      </w:rPr>
      <w:t>HOMELAB MONITOR  /  ARCHITECTURE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83851"/>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1838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Noto Sans CJK SC" w:hAnsi="Noto Sans CJK SC" w:eastAsia="Noto Sans CJK SC"/>
      <w:b/>
      <w:color w:val="18385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交付、升级、部署及回滚边界</dc:title>
  <dc:subject>Homelab Monitor architecture planning</dc:subject>
  <dc:creator>Homelab Monitor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