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分阶段实施路线与验收关卡</w:t>
      </w:r>
    </w:p>
    <w:p>
      <w:pPr>
        <w:spacing w:after="240"/>
      </w:pPr>
      <w:r>
        <w:rPr>
          <w:rFonts w:ascii="Noto Sans CJK SC" w:hAnsi="Noto Sans CJK SC" w:eastAsia="Noto Sans CJK SC"/>
          <w:b w:val="0"/>
          <w:color w:val="68727E"/>
          <w:sz w:val="15"/>
        </w:rPr>
        <w:t>ARCHITECTURE PLANNING  ·  08-implementation/01-roadmap-and-gates  ·  2026-10-17</w:t>
      </w:r>
    </w:p>
    <w:p>
      <w:pPr>
        <w:spacing w:after="200"/>
      </w:pPr>
      <w:r>
        <w:rPr>
          <w:rFonts w:ascii="Noto Sans CJK SC" w:hAnsi="Noto Sans CJK SC" w:eastAsia="Noto Sans CJK SC"/>
          <w:b/>
          <w:color w:val="8C5B2E"/>
          <w:sz w:val="16"/>
        </w:rPr>
        <w:t>规划文档 · 尚未实施 · 已确认决策与按推荐采纳的方案在决策台账中分列。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sz w:val="26"/>
        </w:rPr>
        <w:t>推进策略</w:t>
      </w:r>
    </w:p>
    <w:p>
      <w:pPr/>
      <w:r>
        <w:rPr>
          <w:rFonts w:ascii="Noto Sans CJK SC" w:hAnsi="Noto Sans CJK SC" w:eastAsia="Noto Sans CJK SC"/>
          <w:b w:val="0"/>
          <w:sz w:val="18"/>
        </w:rPr>
        <w:t>分阶段交付，每个阶段具有可运行测试、资源约束验收和回滚方案。不得直接将全部设计一次性改造到现有运行服务。阶段仅确定先后依赖，不强制排期。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sz w:val="26"/>
        </w:rPr>
        <w:t>阶段与架构关卡</w:t>
      </w:r>
    </w:p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96"/>
        <w:gridCol w:w="3296"/>
        <w:gridCol w:w="3296"/>
      </w:tblGrid>
      <w:tr>
        <w:trPr>
          <w:cantSplit/>
          <w:tblHeader w:val="true"/>
        </w:trPr>
        <w:tc>
          <w:tcPr>
            <w:tcW w:type="dxa" w:w="3296"/>
            <w:vAlign w:val="center"/>
            <w:shd w:fill="E8F1F6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/>
                <w:sz w:val="15"/>
              </w:rPr>
              <w:t>阶段</w:t>
            </w:r>
          </w:p>
        </w:tc>
        <w:tc>
          <w:tcPr>
            <w:tcW w:type="dxa" w:w="3296"/>
            <w:vAlign w:val="center"/>
            <w:shd w:fill="E8F1F6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/>
                <w:sz w:val="15"/>
              </w:rPr>
              <w:t>主要任务</w:t>
            </w:r>
          </w:p>
        </w:tc>
        <w:tc>
          <w:tcPr>
            <w:tcW w:type="dxa" w:w="3296"/>
            <w:vAlign w:val="center"/>
            <w:shd w:fill="E8F1F6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/>
                <w:sz w:val="15"/>
              </w:rPr>
              <w:t>退出条件</w:t>
            </w:r>
          </w:p>
        </w:tc>
      </w:tr>
      <w:tr>
        <w:trPr>
          <w:cantSplit/>
        </w:trPr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P0 基线</w:t>
            </w:r>
          </w:p>
        </w:tc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仓库/文档/现网只读核查，冻结协议和既有测试</w:t>
            </w:r>
          </w:p>
        </w:tc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现有功能及运行风险可追踪</w:t>
            </w:r>
          </w:p>
        </w:tc>
      </w:tr>
      <w:tr>
        <w:trPr>
          <w:cantSplit/>
        </w:trPr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P1 模块骨架</w:t>
            </w:r>
          </w:p>
        </w:tc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模块化单体边界、API Schema、认证/身份</w:t>
            </w:r>
          </w:p>
        </w:tc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基础测试、权限隔离通过</w:t>
            </w:r>
          </w:p>
        </w:tc>
      </w:tr>
      <w:tr>
        <w:trPr>
          <w:cantSplit/>
        </w:trPr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P2 插件平台</w:t>
            </w:r>
          </w:p>
        </w:tc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Plugin Host、SDK、签名、安装/升级/回滚、OS 隔离</w:t>
            </w:r>
          </w:p>
        </w:tc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Mock Plugin 故障与资源测试通过</w:t>
            </w:r>
          </w:p>
        </w:tc>
      </w:tr>
      <w:tr>
        <w:trPr>
          <w:cantSplit/>
        </w:trPr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P3 采集通道</w:t>
            </w:r>
          </w:p>
        </w:tc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Agent HTTPS 对账、批量指标、Newifi Remote Host</w:t>
            </w:r>
          </w:p>
        </w:tc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网络业务基线无可测退化</w:t>
            </w:r>
          </w:p>
        </w:tc>
      </w:tr>
      <w:tr>
        <w:trPr>
          <w:cantSplit/>
        </w:trPr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P4 数据平台</w:t>
            </w:r>
          </w:p>
        </w:tc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Metric Envelope、SQLite 候选验证、身份注册、存储配额</w:t>
            </w:r>
          </w:p>
        </w:tc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增量、缺失、重置及降级正确</w:t>
            </w:r>
          </w:p>
        </w:tc>
      </w:tr>
      <w:tr>
        <w:trPr>
          <w:cantSplit/>
        </w:trPr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P5 流量归属</w:t>
            </w:r>
          </w:p>
        </w:tc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IPv4/IPv6/Exit Node 各计数域和质量</w:t>
            </w:r>
          </w:p>
        </w:tc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不重复计数，不伪称完整覆盖</w:t>
            </w:r>
          </w:p>
        </w:tc>
      </w:tr>
      <w:tr>
        <w:trPr>
          <w:cantSplit/>
        </w:trPr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P6 Web</w:t>
            </w:r>
          </w:p>
        </w:tc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Dashboard、Widget、Device、Network、权限、发布</w:t>
            </w:r>
          </w:p>
        </w:tc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多端与多角色、查询限额测试</w:t>
            </w:r>
          </w:p>
        </w:tc>
      </w:tr>
      <w:tr>
        <w:trPr>
          <w:cantSplit/>
        </w:trPr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P7 告警通知</w:t>
            </w:r>
          </w:p>
        </w:tc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Rule/Incident、Web Push、静默、升级兼容</w:t>
            </w:r>
          </w:p>
        </w:tc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误报/去重/失败隔离测试通过</w:t>
            </w:r>
          </w:p>
        </w:tc>
      </w:tr>
      <w:tr>
        <w:trPr>
          <w:cantSplit/>
        </w:trPr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P8 发布验收</w:t>
            </w:r>
          </w:p>
        </w:tc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N1/Alienware/OpenWrt 业务基线 A/B 验证</w:t>
            </w:r>
          </w:p>
        </w:tc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生产安全红线全部达标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  <w:b w:val="0"/>
          <w:sz w:val="26"/>
        </w:rPr>
        <w:t>各阶段通用交付物</w:t>
      </w:r>
    </w:p>
    <w:p>
      <w:pPr/>
      <w:r>
        <w:rPr>
          <w:rFonts w:ascii="Noto Sans CJK SC" w:hAnsi="Noto Sans CJK SC" w:eastAsia="Noto Sans CJK SC"/>
          <w:b w:val="0"/>
          <w:sz w:val="18"/>
        </w:rPr>
        <w:t>架构 ADR/变更说明、接口定义、单测/集成测试、性能测量、错误与故障注入记录、回滚命令、用户权限审查及数据质量结果。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sz w:val="26"/>
        </w:rPr>
        <w:t>对 Codex/开发者的约束</w:t>
      </w:r>
    </w:p>
    <w:p>
      <w:pPr/>
      <w:r>
        <w:rPr>
          <w:rFonts w:ascii="Noto Sans CJK SC" w:hAnsi="Noto Sans CJK SC" w:eastAsia="Noto Sans CJK SC"/>
          <w:b w:val="0"/>
          <w:sz w:val="18"/>
        </w:rPr>
        <w:t>优先阅读 docs/README.md 和 00-governance 的决策记录，明确当前代码与规划差距；一次只做一个变更主题；在生产设备修改之前提出待审批计划、验证点与回退方式。禁止以文档设计为由覆盖 AGENTS.md、现有用户改动或未审查配置。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sz w:val="26"/>
        </w:rPr>
        <w:t>已知现状 vs 未来目标</w:t>
      </w:r>
    </w:p>
    <w:p>
      <w:pPr/>
      <w:r>
        <w:rPr>
          <w:rFonts w:ascii="Noto Sans CJK SC" w:hAnsi="Noto Sans CJK SC" w:eastAsia="Noto Sans CJK SC"/>
          <w:b w:val="0"/>
          <w:sz w:val="18"/>
        </w:rPr>
        <w:t>仓库已有 Go Agent 与 Server 初步 API，N1 Agent 曾以 systemd 正常运行，已有基础采集测试。完整插件系统、统一 Web/身份/网络账本/告警均为待实现的目标，不应在 PRD 中写作已完成功能。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049" w:right="1134" w:bottom="1020" w:left="1219" w:header="397" w:footer="48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b w:val="0"/>
        <w:color w:val="637382"/>
        <w:sz w:val="14"/>
      </w:rPr>
      <w:t>Homelab Monitor  |  Architecture Docs  |  2026-10-17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CJK SC" w:hAnsi="Noto Sans CJK SC" w:eastAsia="Noto Sans CJK SC"/>
        <w:b/>
        <w:color w:val="406C84"/>
        <w:sz w:val="14"/>
      </w:rPr>
      <w:t>HOMELAB MONITOR  /  ARCHITECTURE BASELINE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78" w:lineRule="auto"/>
    </w:pPr>
    <w:rPr>
      <w:rFonts w:ascii="Noto Sans CJK SC" w:hAnsi="Noto Sans CJK SC" w:eastAsia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3851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385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8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83851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分阶段实施路线与验收关卡</dc:title>
  <dc:subject>Homelab Monitor architecture planning</dc:subject>
  <dc:creator>Homelab Monitor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