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B9A42">
      <w:pPr>
        <w:pStyle w:val="2"/>
        <w:keepNext w:val="0"/>
        <w:keepLines w:val="0"/>
        <w:widowControl/>
        <w:suppressLineNumbers w:val="0"/>
        <w:shd w:val="clear" w:fill="FFFFFF"/>
        <w:spacing w:before="320" w:beforeAutospacing="0" w:after="160" w:afterAutospacing="0" w:line="300" w:lineRule="atLeast"/>
        <w:ind w:left="0" w:right="0" w:firstLine="0"/>
        <w:jc w:val="center"/>
        <w:rPr>
          <w:rFonts w:ascii="Segoe UI" w:hAnsi="Segoe UI" w:eastAsia="Segoe UI" w:cs="Segoe UI"/>
          <w:b/>
          <w:bCs/>
          <w:caps w:val="0"/>
          <w:color w:val="0F1115"/>
          <w:spacing w:val="0"/>
          <w:sz w:val="20"/>
          <w:szCs w:val="20"/>
        </w:rPr>
      </w:pPr>
      <w:r>
        <w:rPr>
          <w:rFonts w:ascii="黑体" w:eastAsia="黑体"/>
          <w:bCs/>
          <w:color w:val="auto"/>
          <w:spacing w:val="-5"/>
          <w:position w:val="2"/>
          <w:sz w:val="40"/>
          <w:szCs w:val="31"/>
          <w:lang w:eastAsia="zh-CN"/>
        </w:rPr>
        <w:t>【</w:t>
      </w:r>
      <w:bookmarkStart w:id="0" w:name="_GoBack"/>
      <w:r>
        <w:rPr>
          <w:rFonts w:hint="default" w:ascii="黑体" w:eastAsia="黑体"/>
          <w:bCs/>
          <w:color w:val="auto"/>
          <w:spacing w:val="-5"/>
          <w:position w:val="2"/>
          <w:sz w:val="40"/>
          <w:szCs w:val="31"/>
          <w:lang w:eastAsia="zh-CN"/>
        </w:rPr>
        <w:t>面向动态多模态感知的心理健康状态演变分析与预测研究</w:t>
      </w:r>
      <w:bookmarkEnd w:id="0"/>
      <w:r>
        <w:rPr>
          <w:rFonts w:hint="eastAsia" w:ascii="黑体" w:eastAsia="黑体"/>
          <w:bCs/>
          <w:color w:val="auto"/>
          <w:spacing w:val="-5"/>
          <w:position w:val="2"/>
          <w:sz w:val="40"/>
          <w:szCs w:val="31"/>
          <w:lang w:eastAsia="zh-CN"/>
        </w:rPr>
        <w:t>】</w:t>
      </w:r>
    </w:p>
    <w:p w14:paraId="4CC5A665">
      <w:pPr>
        <w:pStyle w:val="3"/>
        <w:snapToGrid/>
        <w:spacing w:after="60"/>
        <w:jc w:val="center"/>
        <w:outlineLvl w:val="0"/>
        <w:rPr>
          <w:rFonts w:ascii="Times New Roman" w:hAnsi="Times New Roman" w:eastAsia="仿宋" w:cs="Times New Roman"/>
          <w:b w:val="0"/>
          <w:bCs w:val="0"/>
          <w:i w:val="0"/>
          <w:iCs w:val="0"/>
          <w:caps w:val="0"/>
          <w:color w:val="auto"/>
          <w:spacing w:val="-1"/>
          <w:sz w:val="24"/>
          <w:szCs w:val="27"/>
          <w:shd w:val="clear"/>
        </w:rPr>
      </w:pPr>
      <w:r>
        <w:rPr>
          <w:rFonts w:ascii="Times New Roman" w:hAnsi="Times New Roman" w:eastAsia="仿宋" w:cs="Times New Roman"/>
          <w:b w:val="0"/>
          <w:bCs w:val="0"/>
          <w:i w:val="0"/>
          <w:iCs w:val="0"/>
          <w:caps w:val="0"/>
          <w:color w:val="auto"/>
          <w:spacing w:val="-1"/>
          <w:sz w:val="24"/>
          <w:szCs w:val="27"/>
          <w:shd w:val="clear"/>
        </w:rPr>
        <w:t>A Dynamic Multimodal Framework for Mental Health State Evolution Analysis and Prediction</w:t>
      </w:r>
    </w:p>
    <w:p w14:paraId="4B7CAC15">
      <w:pPr>
        <w:pStyle w:val="3"/>
        <w:snapToGrid/>
        <w:spacing w:after="60"/>
        <w:jc w:val="both"/>
        <w:outlineLvl w:val="0"/>
      </w:pPr>
      <w:r>
        <w:rPr>
          <w:rFonts w:hint="default" w:ascii="Times New Roman" w:hAnsi="Times New Roman" w:eastAsia="仿宋" w:cs="Times New Roman"/>
          <w:b w:val="0"/>
          <w:bCs w:val="0"/>
          <w:i w:val="0"/>
          <w:iCs w:val="0"/>
          <w:caps w:val="0"/>
          <w:color w:val="auto"/>
          <w:spacing w:val="-1"/>
          <w:sz w:val="24"/>
          <w:szCs w:val="27"/>
          <w:shd w:val="clear"/>
          <w:lang w:eastAsia="zh-CN"/>
        </w:rPr>
        <w:t>模型名称</w:t>
      </w:r>
      <w:r>
        <w:rPr>
          <w:rStyle w:val="7"/>
          <w:rFonts w:hint="eastAsia" w:ascii="仿宋" w:hAnsi="Segoe UI" w:eastAsia="仿宋" w:cs="Segoe UI"/>
          <w:b w:val="0"/>
          <w:color w:val="auto"/>
          <w:sz w:val="24"/>
          <w:shd w:val="clear" w:color="auto" w:fill="FFFFFF"/>
          <w:lang w:eastAsia="zh-CN"/>
        </w:rPr>
        <w:t>：</w:t>
      </w:r>
      <w:r>
        <w:rPr>
          <w:rStyle w:val="7"/>
          <w:rFonts w:hint="default" w:ascii="Times New Roman" w:hAnsi="Times New Roman" w:eastAsia="仿宋" w:cs="Times New Roman"/>
          <w:bCs/>
          <w:color w:val="auto"/>
          <w:sz w:val="24"/>
          <w:shd w:val="clear" w:color="auto" w:fill="FFFFFF"/>
          <w:lang w:eastAsia="zh-CN"/>
        </w:rPr>
        <w:t>HAD-M3H</w:t>
      </w:r>
    </w:p>
    <w:p w14:paraId="24821375">
      <w:pPr>
        <w:keepNext w:val="0"/>
        <w:keepLines w:val="0"/>
        <w:pageBreakBefore w:val="0"/>
        <w:widowControl w:val="0"/>
        <w:kinsoku/>
        <w:wordWrap/>
        <w:overflowPunct/>
        <w:topLinePunct w:val="0"/>
        <w:autoSpaceDE/>
        <w:autoSpaceDN/>
        <w:bidi w:val="0"/>
        <w:adjustRightInd/>
        <w:snapToGrid/>
        <w:spacing w:before="200" w:after="100" w:line="300" w:lineRule="auto"/>
        <w:textAlignment w:val="auto"/>
        <w:outlineLvl w:val="0"/>
        <w:rPr>
          <w:rFonts w:ascii="黑体" w:hAnsi="Times New Roman" w:eastAsia="黑体" w:cs="Times New Roman"/>
          <w:bCs/>
          <w:snapToGrid/>
          <w:color w:val="auto"/>
          <w:kern w:val="2"/>
          <w:sz w:val="32"/>
          <w:szCs w:val="24"/>
          <w:lang w:eastAsia="zh-CN"/>
        </w:rPr>
      </w:pPr>
      <w:r>
        <w:rPr>
          <w:rFonts w:hint="eastAsia" w:ascii="Times New Roman" w:hAnsi="Times New Roman" w:eastAsia="宋体" w:cs="Times New Roman"/>
          <w:b/>
          <w:bCs/>
          <w:snapToGrid/>
          <w:kern w:val="0"/>
          <w:sz w:val="28"/>
          <w:szCs w:val="28"/>
          <w:lang w:val="en-US" w:eastAsia="zh-CN" w:bidi="ar-SA"/>
        </w:rPr>
        <w:t>1.研究背景</w:t>
      </w:r>
    </w:p>
    <w:p w14:paraId="660B249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随着社交媒体在全球范围内的普及与深入，其已不再仅仅是信息传播与社交娱乐的平台，更成为了反映公众心理健康状况的“数字镜子”。数以亿计的用户每日在其中主动地分享包含文本、图像乃至行为模式在内的多模态个人数据，这为进行大规模、非侵入式的心理健康计算分析提供了前所未有的机遇。利用人工智能技术，特别是深度学习模型，从这些海量数据中自动识别具有心理风险隐患的个体，对于实现精神健康问题的</w:t>
      </w:r>
      <w:r>
        <w:rPr>
          <w:rFonts w:hint="default" w:ascii="Times New Roman" w:hAnsi="Times New Roman" w:eastAsia="宋体" w:cs="Times New Roman"/>
          <w:snapToGrid/>
          <w:kern w:val="2"/>
          <w:sz w:val="24"/>
          <w:szCs w:val="24"/>
          <w:lang w:val="en-US" w:eastAsia="zh-CN"/>
        </w:rPr>
        <w:t>早期筛查、预警与干预具有重大的社会意义。</w:t>
      </w:r>
    </w:p>
    <w:p w14:paraId="7A465E7D">
      <w:pPr>
        <w:widowControl w:val="0"/>
        <w:kinsoku/>
        <w:autoSpaceDE/>
        <w:autoSpaceDN/>
        <w:adjustRightInd/>
        <w:snapToGrid/>
        <w:spacing w:before="200" w:after="100"/>
        <w:textAlignment w:val="auto"/>
        <w:outlineLvl w:val="0"/>
        <w:rPr>
          <w:rFonts w:hint="eastAsia" w:ascii="Times New Roman" w:hAnsi="Times New Roman" w:eastAsia="宋体" w:cs="Times New Roman"/>
          <w:b/>
          <w:bCs/>
          <w:snapToGrid/>
          <w:kern w:val="0"/>
          <w:sz w:val="28"/>
          <w:szCs w:val="28"/>
          <w:lang w:val="en-US" w:eastAsia="zh-CN" w:bidi="ar-SA"/>
        </w:rPr>
      </w:pPr>
      <w:r>
        <w:rPr>
          <w:rFonts w:hint="eastAsia" w:ascii="Times New Roman" w:hAnsi="Times New Roman" w:eastAsia="宋体" w:cs="Times New Roman"/>
          <w:b/>
          <w:bCs/>
          <w:snapToGrid/>
          <w:kern w:val="0"/>
          <w:sz w:val="28"/>
          <w:szCs w:val="28"/>
          <w:lang w:val="en-US" w:eastAsia="zh-CN" w:bidi="ar-SA"/>
        </w:rPr>
        <w:t>2.现有挑战</w:t>
      </w:r>
    </w:p>
    <w:p w14:paraId="2D435D7E">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社交媒体的心理健康分析面临多重困难，现有解决方案在不同层面均存在显著不足：</w:t>
      </w:r>
    </w:p>
    <w:p w14:paraId="492D15B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（1）现有研究大多停留在对多模态信号的“简单拼接”层面，默认所有模态在反映心理状态时具有同等可靠性。这种</w:t>
      </w:r>
      <w:r>
        <w:rPr>
          <w:rFonts w:hint="default" w:ascii="Times New Roman" w:hAnsi="Times New Roman" w:eastAsia="宋体" w:cs="Times New Roman"/>
          <w:snapToGrid/>
          <w:kern w:val="2"/>
          <w:sz w:val="24"/>
          <w:szCs w:val="24"/>
          <w:lang w:val="en-US" w:eastAsia="zh-CN"/>
        </w:rPr>
        <w:t>平等性假设严重忽视了心理表达的复杂性。在实践中，用户可能有意识地在文本中进行情绪管理（如使用积极文字掩饰低落心情），却无意识地在视觉和行为维度泄露真实状态（如图像色彩灰暗、构图混乱，或行为上出现社交退缩）。当前模型缺乏一种置信度评估机制，无法智能地权衡这种模态间可信度的非对称性，导致其对具有欺骗性或矛盾性的信号解析能力不足，融合效果受限。</w:t>
      </w:r>
    </w:p>
    <w:p w14:paraId="0622FD3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（2）现有的</w:t>
      </w:r>
      <w:r>
        <w:rPr>
          <w:rFonts w:hint="default" w:ascii="Times New Roman" w:hAnsi="Times New Roman" w:eastAsia="宋体" w:cs="Times New Roman"/>
          <w:snapToGrid/>
          <w:kern w:val="2"/>
          <w:sz w:val="24"/>
          <w:szCs w:val="24"/>
          <w:lang w:val="en-US" w:eastAsia="zh-CN"/>
        </w:rPr>
        <w:t>主流方法多为静态分类模型</w:t>
      </w:r>
      <w:r>
        <w:rPr>
          <w:rFonts w:hint="eastAsia" w:ascii="Times New Roman" w:hAnsi="Times New Roman" w:eastAsia="宋体" w:cs="Times New Roman"/>
          <w:snapToGrid/>
          <w:kern w:val="2"/>
          <w:sz w:val="24"/>
          <w:szCs w:val="24"/>
          <w:lang w:val="en-US" w:eastAsia="zh-CN"/>
        </w:rPr>
        <w:t>，</w:t>
      </w:r>
      <w:r>
        <w:rPr>
          <w:rFonts w:hint="default" w:ascii="Times New Roman" w:hAnsi="Times New Roman" w:eastAsia="宋体" w:cs="Times New Roman"/>
          <w:snapToGrid/>
          <w:kern w:val="2"/>
          <w:sz w:val="24"/>
          <w:szCs w:val="24"/>
          <w:lang w:val="en-US" w:eastAsia="zh-CN"/>
        </w:rPr>
        <w:t>无法揭示用户从稳定状态如何逐步滑向高风险的演变路径。由于无法捕捉行为模式缓慢恶化、情绪表达逐渐异常等具有预测价值的时序动力学特征，现有模型本质上丧失了最重要的预警能力，难以支撑真正意义上的早期干预。</w:t>
      </w:r>
    </w:p>
    <w:p w14:paraId="658BFA9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（3）</w:t>
      </w:r>
      <w:r>
        <w:rPr>
          <w:rFonts w:hint="default" w:ascii="Times New Roman" w:hAnsi="Times New Roman" w:eastAsia="宋体" w:cs="Times New Roman"/>
          <w:snapToGrid/>
          <w:kern w:val="2"/>
          <w:sz w:val="24"/>
          <w:szCs w:val="24"/>
          <w:lang w:val="en-US" w:eastAsia="zh-CN"/>
        </w:rPr>
        <w:t>许多研究盲目追求模型复杂度，但其输出结果往往无法为临床医生提供可行动的见解。模型决策过程是一个“黑箱”，医生无法理解其判断是基于用户的消极言论、孤寂的图片还是异常的睡眠模式。这种可解释性的缺失严重阻碍了模型在严肃医疗环境中的应用。此外，模型输出与标准临床评估量表之间缺乏直接、有意义的关联，使其难以融入现有的诊疗流程。</w:t>
      </w:r>
    </w:p>
    <w:p w14:paraId="481864B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针对上述问题，本文创新性地提出基于多模态社交媒体的心理健康分析模型。其核心价值主要体现在以下三个方面：通过构建层次化置信度融合机制，模型突破了传统多模态融合的平等性假设，能够动态评估文本、图像和行为模态的可信度差异，在用户进行情绪掩饰时仍能通过无意识泄露的视觉与行为线索捕捉真实心理状态；通过设计显式动态状态转移模块，将分析范式从静态诊断升级为动态追踪，能够刻画用户从稳定状态逐步滑向高风险状态的完整演变路径，实现了从状态识别到风险预测的能力跨越；通过内置可解释性架构，模型输出包含模态权重分配与状态转移轨迹的临床可读报告，使算法决策与医生诊断框架形成有效对接，为模型融入真实诊疗流程提供了技术基础。</w:t>
      </w:r>
    </w:p>
    <w:p w14:paraId="7A658BC5">
      <w:pPr>
        <w:keepNext w:val="0"/>
        <w:keepLines w:val="0"/>
        <w:pageBreakBefore w:val="0"/>
        <w:widowControl w:val="0"/>
        <w:kinsoku/>
        <w:wordWrap/>
        <w:overflowPunct/>
        <w:topLinePunct w:val="0"/>
        <w:autoSpaceDE/>
        <w:autoSpaceDN/>
        <w:bidi w:val="0"/>
        <w:adjustRightInd/>
        <w:snapToGrid/>
        <w:spacing w:before="200" w:after="100" w:line="300" w:lineRule="auto"/>
        <w:textAlignment w:val="auto"/>
        <w:outlineLvl w:val="0"/>
        <w:rPr>
          <w:rFonts w:hint="eastAsia" w:ascii="Times New Roman" w:hAnsi="Times New Roman" w:eastAsia="宋体" w:cs="Times New Roman"/>
          <w:b/>
          <w:bCs/>
          <w:snapToGrid/>
          <w:kern w:val="0"/>
          <w:sz w:val="28"/>
          <w:szCs w:val="28"/>
          <w:lang w:val="en-US" w:eastAsia="zh-CN" w:bidi="ar-SA"/>
        </w:rPr>
      </w:pPr>
      <w:r>
        <w:rPr>
          <w:rFonts w:hint="eastAsia" w:ascii="Times New Roman" w:hAnsi="Times New Roman" w:eastAsia="宋体" w:cs="Times New Roman"/>
          <w:b/>
          <w:bCs/>
          <w:snapToGrid/>
          <w:kern w:val="0"/>
          <w:sz w:val="28"/>
          <w:szCs w:val="28"/>
          <w:lang w:val="en-US" w:eastAsia="zh-CN" w:bidi="ar-SA"/>
        </w:rPr>
        <w:t>3.研究方案</w:t>
      </w:r>
    </w:p>
    <w:p w14:paraId="7134029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（1）数据集与预处理</w:t>
      </w:r>
    </w:p>
    <w:p w14:paraId="0EDB2C0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（2）模型架构：HAD-M3H框架</w:t>
      </w:r>
    </w:p>
    <w:p w14:paraId="7A2764E8">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特征提取层：采用多模态并行编码架构，利用预训练模型（如RoBERTa, ViT）与序列网络（LSTM）分别提取文本的深层语义、图像的视觉上下文以及用户行为的时序模式，形成跨模态的通用高阶特征表示。</w:t>
      </w:r>
    </w:p>
    <w:p w14:paraId="1C44E5D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层次化置信度融合层：通过动态权重学习机制，融合来自文本鲜明度、图像确定性与行为异常度等置信度先验，自适应地权衡各模态信号的可信度，生成具有可靠性加权的统一表征，解决多模态信号间的冲突与干扰问题。</w:t>
      </w:r>
    </w:p>
    <w:p w14:paraId="6D23EFF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动态状态转移与输出层：基于时序融合特征构建心理状态空间，利用循环神经网络建模状态间的转移规律，实现当前心理状态的识别与未来风险的动态预测，完成从静态分析到早期预警的跨越。</w:t>
      </w:r>
    </w:p>
    <w:p w14:paraId="338DF781">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（3）联合损失函数设计</w:t>
      </w:r>
    </w:p>
    <w:p w14:paraId="27B91FB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联合损失函数设计采用面向多模态的动态优化架构。首先通过模态感知的加权机制，依据各模态特征的信度指标动态平衡其在联合损失中的贡献度，解决多模态信号可靠性差异带来的优化偏差；同时采用跨模态梯度协调技术，对文本、图像和行为模态训练路径中的梯度冲突进行对齐优化，确保多模态表征的协同学习；最终通过层次化解耦约束，将通用模态特征与任务导向特征进行分离，有效抑制模态内和任务间的相互干扰。</w:t>
      </w:r>
    </w:p>
    <w:p w14:paraId="240EF6A9">
      <w:pPr>
        <w:widowControl w:val="0"/>
        <w:kinsoku/>
        <w:autoSpaceDE/>
        <w:autoSpaceDN/>
        <w:adjustRightInd/>
        <w:snapToGrid/>
        <w:spacing w:before="200" w:after="100"/>
        <w:textAlignment w:val="auto"/>
        <w:outlineLvl w:val="0"/>
        <w:rPr>
          <w:rFonts w:hint="eastAsia" w:ascii="Times New Roman" w:hAnsi="Times New Roman" w:eastAsia="宋体" w:cs="Times New Roman"/>
          <w:b/>
          <w:bCs/>
          <w:snapToGrid/>
          <w:kern w:val="0"/>
          <w:sz w:val="28"/>
          <w:szCs w:val="28"/>
          <w:lang w:val="en-US" w:eastAsia="zh-CN" w:bidi="ar-SA"/>
        </w:rPr>
      </w:pPr>
      <w:r>
        <w:rPr>
          <w:rFonts w:hint="eastAsia" w:ascii="Times New Roman" w:hAnsi="Times New Roman" w:eastAsia="宋体" w:cs="Times New Roman"/>
          <w:b/>
          <w:bCs/>
          <w:snapToGrid/>
          <w:kern w:val="0"/>
          <w:sz w:val="28"/>
          <w:szCs w:val="28"/>
          <w:lang w:val="en-US" w:eastAsia="zh-CN" w:bidi="ar-SA"/>
        </w:rPr>
        <w:t>4.实验设计与结果分析</w:t>
      </w:r>
    </w:p>
    <w:p w14:paraId="258219B9">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kern w:val="2"/>
          <w:sz w:val="24"/>
          <w:szCs w:val="24"/>
          <w:lang w:val="en-US" w:eastAsia="zh-CN"/>
        </w:rPr>
        <w:t>（1）基线对比实验</w:t>
      </w:r>
    </w:p>
    <w:p w14:paraId="0C71EDF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4"/>
          <w:lang w:val="en-US" w:eastAsia="zh-CN"/>
        </w:rPr>
      </w:pPr>
      <w:r>
        <w:rPr>
          <w:rFonts w:hint="eastAsia" w:ascii="Times New Roman" w:hAnsi="Times New Roman" w:eastAsia="宋体" w:cs="Times New Roman"/>
          <w:snapToGrid/>
          <w:color w:val="000000"/>
          <w:kern w:val="2"/>
          <w:sz w:val="24"/>
          <w:szCs w:val="24"/>
          <w:lang w:val="en-US" w:eastAsia="zh-CN" w:bidi="ar-SA"/>
        </w:rPr>
        <w:t>与强大的单模态模型（如纯文本BERT）、主流多模态融合模型（如简单拼接、跨模态Transformer）、以及通用的多模态预训练模型（如VL-BERT）进行性能对比</w:t>
      </w:r>
      <w:r>
        <w:rPr>
          <w:rFonts w:hint="eastAsia" w:ascii="Times New Roman" w:hAnsi="Times New Roman" w:eastAsia="宋体" w:cs="Times New Roman"/>
          <w:snapToGrid/>
          <w:kern w:val="2"/>
          <w:sz w:val="24"/>
          <w:szCs w:val="24"/>
          <w:lang w:val="en-US" w:eastAsia="zh-CN"/>
        </w:rPr>
        <w:t>。</w:t>
      </w:r>
    </w:p>
    <w:p w14:paraId="3A9D2911">
      <w:pPr>
        <w:pStyle w:val="3"/>
        <w:keepNext w:val="0"/>
        <w:keepLines w:val="0"/>
        <w:pageBreakBefore w:val="0"/>
        <w:numPr>
          <w:ilvl w:val="0"/>
          <w:numId w:val="2"/>
        </w:numPr>
        <w:wordWrap/>
        <w:overflowPunct/>
        <w:topLinePunct w:val="0"/>
        <w:bidi w:val="0"/>
        <w:snapToGrid/>
        <w:spacing w:line="300" w:lineRule="auto"/>
        <w:ind w:firstLine="480" w:firstLineChars="200"/>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zh-CN" w:bidi="ar-SA"/>
        </w:rPr>
        <w:t>多</w:t>
      </w:r>
      <w:r>
        <w:rPr>
          <w:rFonts w:hint="eastAsia" w:ascii="Times New Roman" w:hAnsi="Times New Roman" w:cs="Times New Roman"/>
          <w:snapToGrid/>
          <w:color w:val="000000"/>
          <w:kern w:val="2"/>
          <w:sz w:val="24"/>
          <w:szCs w:val="24"/>
          <w:lang w:val="en-US" w:eastAsia="zh-CN" w:bidi="ar-SA"/>
        </w:rPr>
        <w:t>模态</w:t>
      </w:r>
      <w:r>
        <w:rPr>
          <w:rFonts w:hint="eastAsia" w:ascii="Times New Roman" w:hAnsi="Times New Roman" w:eastAsia="宋体" w:cs="Times New Roman"/>
          <w:snapToGrid/>
          <w:color w:val="000000"/>
          <w:kern w:val="2"/>
          <w:sz w:val="24"/>
          <w:szCs w:val="24"/>
          <w:lang w:val="en-US" w:eastAsia="zh-CN" w:bidi="ar-SA"/>
        </w:rPr>
        <w:t>框架的消融实验</w:t>
      </w:r>
    </w:p>
    <w:p w14:paraId="32EDECEA">
      <w:pPr>
        <w:pStyle w:val="3"/>
        <w:keepNext w:val="0"/>
        <w:keepLines w:val="0"/>
        <w:pageBreakBefore w:val="0"/>
        <w:numPr>
          <w:ilvl w:val="0"/>
          <w:numId w:val="0"/>
        </w:numPr>
        <w:wordWrap/>
        <w:overflowPunct/>
        <w:topLinePunct w:val="0"/>
        <w:bidi w:val="0"/>
        <w:snapToGrid/>
        <w:spacing w:line="300" w:lineRule="auto"/>
        <w:ind w:firstLine="480" w:firstLineChars="200"/>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zh-CN" w:bidi="ar-SA"/>
        </w:rPr>
        <w:t>对比单</w:t>
      </w:r>
      <w:r>
        <w:rPr>
          <w:rFonts w:hint="eastAsia" w:ascii="Times New Roman" w:hAnsi="Times New Roman" w:cs="Times New Roman"/>
          <w:snapToGrid/>
          <w:color w:val="000000"/>
          <w:kern w:val="2"/>
          <w:sz w:val="24"/>
          <w:szCs w:val="24"/>
          <w:lang w:val="en-US" w:eastAsia="zh-CN" w:bidi="ar-SA"/>
        </w:rPr>
        <w:t>模态</w:t>
      </w:r>
      <w:r>
        <w:rPr>
          <w:rFonts w:hint="eastAsia" w:ascii="Times New Roman" w:hAnsi="Times New Roman" w:eastAsia="宋体" w:cs="Times New Roman"/>
          <w:snapToGrid/>
          <w:color w:val="000000"/>
          <w:kern w:val="2"/>
          <w:sz w:val="24"/>
          <w:szCs w:val="24"/>
          <w:lang w:val="en-US" w:eastAsia="zh-CN" w:bidi="ar-SA"/>
        </w:rPr>
        <w:t>和多</w:t>
      </w:r>
      <w:r>
        <w:rPr>
          <w:rFonts w:hint="eastAsia" w:ascii="Times New Roman" w:hAnsi="Times New Roman" w:cs="Times New Roman"/>
          <w:snapToGrid/>
          <w:color w:val="000000"/>
          <w:kern w:val="2"/>
          <w:sz w:val="24"/>
          <w:szCs w:val="24"/>
          <w:lang w:val="en-US" w:eastAsia="zh-CN" w:bidi="ar-SA"/>
        </w:rPr>
        <w:t>模态</w:t>
      </w:r>
      <w:r>
        <w:rPr>
          <w:rFonts w:hint="eastAsia" w:ascii="Times New Roman" w:hAnsi="Times New Roman" w:eastAsia="宋体" w:cs="Times New Roman"/>
          <w:snapToGrid/>
          <w:color w:val="000000"/>
          <w:kern w:val="2"/>
          <w:sz w:val="24"/>
          <w:szCs w:val="24"/>
          <w:lang w:val="en-US" w:eastAsia="zh-CN" w:bidi="ar-SA"/>
        </w:rPr>
        <w:t>模型，探讨多</w:t>
      </w:r>
      <w:r>
        <w:rPr>
          <w:rFonts w:hint="eastAsia" w:ascii="Times New Roman" w:hAnsi="Times New Roman" w:cs="Times New Roman"/>
          <w:snapToGrid/>
          <w:color w:val="000000"/>
          <w:kern w:val="2"/>
          <w:sz w:val="24"/>
          <w:szCs w:val="24"/>
          <w:lang w:val="en-US" w:eastAsia="zh-CN" w:bidi="ar-SA"/>
        </w:rPr>
        <w:t>模态</w:t>
      </w:r>
      <w:r>
        <w:rPr>
          <w:rFonts w:hint="eastAsia" w:ascii="Times New Roman" w:hAnsi="Times New Roman" w:eastAsia="宋体" w:cs="Times New Roman"/>
          <w:snapToGrid/>
          <w:color w:val="000000"/>
          <w:kern w:val="2"/>
          <w:sz w:val="24"/>
          <w:szCs w:val="24"/>
          <w:lang w:val="en-US" w:eastAsia="zh-CN" w:bidi="ar-SA"/>
        </w:rPr>
        <w:t>的对比分别移出</w:t>
      </w:r>
      <w:r>
        <w:rPr>
          <w:rFonts w:hint="eastAsia" w:ascii="Times New Roman" w:hAnsi="Times New Roman" w:cs="Times New Roman"/>
          <w:snapToGrid/>
          <w:color w:val="000000"/>
          <w:kern w:val="2"/>
          <w:sz w:val="24"/>
          <w:szCs w:val="24"/>
          <w:lang w:val="en-US" w:eastAsia="zh-CN" w:bidi="ar-SA"/>
        </w:rPr>
        <w:t>三种模态</w:t>
      </w:r>
      <w:r>
        <w:rPr>
          <w:rFonts w:hint="eastAsia" w:ascii="Times New Roman" w:hAnsi="Times New Roman" w:eastAsia="宋体" w:cs="Times New Roman"/>
          <w:snapToGrid/>
          <w:color w:val="000000"/>
          <w:kern w:val="2"/>
          <w:sz w:val="24"/>
          <w:szCs w:val="24"/>
          <w:lang w:val="en-US" w:eastAsia="zh-CN" w:bidi="ar-SA"/>
        </w:rPr>
        <w:t>与预期缺陷进行对比</w:t>
      </w:r>
      <w:r>
        <w:rPr>
          <w:rFonts w:hint="eastAsia" w:ascii="Times New Roman" w:hAnsi="Times New Roman" w:cs="Times New Roman"/>
          <w:snapToGrid/>
          <w:color w:val="000000"/>
          <w:kern w:val="2"/>
          <w:sz w:val="24"/>
          <w:szCs w:val="24"/>
          <w:lang w:val="en-US" w:eastAsia="zh-CN" w:bidi="ar-SA"/>
        </w:rPr>
        <w:t>。</w:t>
      </w:r>
    </w:p>
    <w:p w14:paraId="4CCE9D11">
      <w:pPr>
        <w:pStyle w:val="3"/>
        <w:keepNext w:val="0"/>
        <w:keepLines w:val="0"/>
        <w:pageBreakBefore w:val="0"/>
        <w:wordWrap/>
        <w:overflowPunct/>
        <w:topLinePunct w:val="0"/>
        <w:bidi w:val="0"/>
        <w:snapToGrid/>
        <w:spacing w:line="300" w:lineRule="auto"/>
        <w:ind w:firstLine="480" w:firstLineChars="200"/>
        <w:rPr>
          <w:rFonts w:hint="eastAsia" w:ascii="Times New Roman" w:hAnsi="Times New Roman" w:eastAsia="仿宋" w:cs="Times New Roman"/>
          <w:snapToGrid/>
          <w:color w:val="auto"/>
          <w:spacing w:val="0"/>
          <w:kern w:val="2"/>
          <w:sz w:val="24"/>
          <w:szCs w:val="24"/>
          <w:lang w:eastAsia="zh-CN"/>
        </w:rPr>
      </w:pPr>
      <w:r>
        <w:rPr>
          <w:rFonts w:hint="eastAsia" w:ascii="Times New Roman" w:hAnsi="Times New Roman" w:eastAsia="宋体" w:cs="Times New Roman"/>
          <w:snapToGrid/>
          <w:color w:val="000000"/>
          <w:kern w:val="2"/>
          <w:sz w:val="24"/>
          <w:szCs w:val="24"/>
          <w:lang w:val="en-US" w:eastAsia="zh-CN" w:bidi="ar-SA"/>
        </w:rPr>
        <w:t>（3）联合损失函数有效性验证实验（针对联合损失函数）</w:t>
      </w:r>
      <w:r>
        <w:rPr>
          <w:rFonts w:hint="eastAsia" w:ascii="Times New Roman" w:hAnsi="Times New Roman" w:eastAsia="仿宋" w:cs="Times New Roman"/>
          <w:snapToGrid/>
          <w:color w:val="auto"/>
          <w:spacing w:val="0"/>
          <w:kern w:val="2"/>
          <w:sz w:val="24"/>
          <w:szCs w:val="24"/>
          <w:lang w:eastAsia="zh-CN"/>
        </w:rPr>
        <w:t xml:space="preserve"> </w:t>
      </w:r>
    </w:p>
    <w:p w14:paraId="4036E1B9">
      <w:pPr>
        <w:pStyle w:val="3"/>
        <w:keepNext w:val="0"/>
        <w:keepLines w:val="0"/>
        <w:pageBreakBefore w:val="0"/>
        <w:numPr>
          <w:ilvl w:val="0"/>
          <w:numId w:val="0"/>
        </w:numPr>
        <w:wordWrap/>
        <w:overflowPunct/>
        <w:topLinePunct w:val="0"/>
        <w:bidi w:val="0"/>
        <w:snapToGrid/>
        <w:spacing w:line="300" w:lineRule="auto"/>
        <w:ind w:firstLine="480" w:firstLineChars="200"/>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zh-CN" w:bidi="ar-SA"/>
        </w:rPr>
        <w:t>通过微调联合损失参数 找到最优的联合损失函数设置</w:t>
      </w:r>
    </w:p>
    <w:p w14:paraId="3E68B7C4">
      <w:pPr>
        <w:pStyle w:val="3"/>
        <w:keepNext w:val="0"/>
        <w:keepLines w:val="0"/>
        <w:pageBreakBefore w:val="0"/>
        <w:wordWrap/>
        <w:overflowPunct/>
        <w:topLinePunct w:val="0"/>
        <w:bidi w:val="0"/>
        <w:snapToGrid/>
        <w:spacing w:line="300" w:lineRule="auto"/>
        <w:ind w:firstLine="480" w:firstLineChars="200"/>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zh-CN" w:bidi="ar-SA"/>
        </w:rPr>
        <w:t>（4）融合机制有效性验证实验</w:t>
      </w:r>
    </w:p>
    <w:p w14:paraId="53C17866">
      <w:pPr>
        <w:pStyle w:val="3"/>
        <w:keepNext w:val="0"/>
        <w:keepLines w:val="0"/>
        <w:pageBreakBefore w:val="0"/>
        <w:wordWrap/>
        <w:overflowPunct/>
        <w:topLinePunct w:val="0"/>
        <w:bidi w:val="0"/>
        <w:snapToGrid/>
        <w:spacing w:line="300" w:lineRule="auto"/>
        <w:ind w:firstLine="480" w:firstLineChars="200"/>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zh-CN" w:bidi="ar-SA"/>
        </w:rPr>
        <w:t>通过案例研究，选取模态信号矛盾的样本（如“文字积极+图片灰暗”），分别展示本模型与基线模型的决策过程与结果，直观证明置信度融合机制的有效性。</w:t>
      </w:r>
    </w:p>
    <w:p w14:paraId="56867492">
      <w:pPr>
        <w:pStyle w:val="3"/>
        <w:keepNext w:val="0"/>
        <w:keepLines w:val="0"/>
        <w:pageBreakBefore w:val="0"/>
        <w:numPr>
          <w:ilvl w:val="0"/>
          <w:numId w:val="3"/>
        </w:numPr>
        <w:wordWrap/>
        <w:overflowPunct/>
        <w:topLinePunct w:val="0"/>
        <w:bidi w:val="0"/>
        <w:snapToGrid/>
        <w:spacing w:line="300" w:lineRule="auto"/>
        <w:ind w:firstLine="480" w:firstLineChars="200"/>
        <w:rPr>
          <w:rFonts w:hint="eastAsia" w:ascii="Times New Roman" w:hAnsi="Times New Roman" w:eastAsia="仿宋" w:cs="Times New Roman"/>
          <w:snapToGrid/>
          <w:color w:val="auto"/>
          <w:spacing w:val="0"/>
          <w:kern w:val="2"/>
          <w:sz w:val="24"/>
          <w:szCs w:val="24"/>
          <w:lang w:eastAsia="zh-CN"/>
        </w:rPr>
      </w:pPr>
      <w:r>
        <w:rPr>
          <w:rFonts w:hint="eastAsia" w:ascii="Times New Roman" w:hAnsi="Times New Roman" w:eastAsia="宋体" w:cs="Times New Roman"/>
          <w:snapToGrid/>
          <w:color w:val="000000"/>
          <w:kern w:val="2"/>
          <w:sz w:val="24"/>
          <w:szCs w:val="24"/>
          <w:lang w:val="en-US" w:eastAsia="zh-CN" w:bidi="ar-SA"/>
        </w:rPr>
        <w:t>模型动态预测性能验</w:t>
      </w:r>
      <w:r>
        <w:rPr>
          <w:rFonts w:hint="eastAsia" w:ascii="Times New Roman" w:hAnsi="Times New Roman" w:cs="Times New Roman"/>
          <w:snapToGrid/>
          <w:color w:val="000000"/>
          <w:kern w:val="2"/>
          <w:sz w:val="24"/>
          <w:szCs w:val="24"/>
          <w:lang w:val="en-US" w:eastAsia="zh-CN" w:bidi="ar-SA"/>
        </w:rPr>
        <w:t>证</w:t>
      </w:r>
      <w:r>
        <w:rPr>
          <w:rFonts w:hint="eastAsia" w:ascii="Times New Roman" w:hAnsi="Times New Roman" w:eastAsia="仿宋" w:cs="Times New Roman"/>
          <w:snapToGrid/>
          <w:color w:val="auto"/>
          <w:spacing w:val="0"/>
          <w:kern w:val="2"/>
          <w:sz w:val="24"/>
          <w:szCs w:val="24"/>
          <w:lang w:eastAsia="zh-CN"/>
        </w:rPr>
        <w:t xml:space="preserve"> </w:t>
      </w:r>
    </w:p>
    <w:p w14:paraId="5352D11F">
      <w:pPr>
        <w:pStyle w:val="4"/>
        <w:keepNext w:val="0"/>
        <w:keepLines w:val="0"/>
        <w:widowControl/>
        <w:suppressLineNumbers w:val="0"/>
        <w:spacing w:before="0" w:beforeAutospacing="0" w:after="0" w:afterAutospacing="0"/>
        <w:ind w:right="0" w:firstLine="480" w:firstLineChars="200"/>
        <w:rPr>
          <w:rFonts w:hint="eastAsia" w:ascii="Times New Roman" w:hAnsi="Times New Roman" w:eastAsia="仿宋" w:cs="Times New Roman"/>
          <w:snapToGrid/>
          <w:color w:val="auto"/>
          <w:kern w:val="2"/>
          <w:sz w:val="24"/>
          <w:szCs w:val="24"/>
          <w:lang w:eastAsia="zh-CN"/>
        </w:rPr>
      </w:pPr>
      <w:r>
        <w:rPr>
          <w:rFonts w:hint="eastAsia" w:ascii="Times New Roman" w:hAnsi="Times New Roman" w:eastAsia="宋体" w:cs="Times New Roman"/>
          <w:snapToGrid/>
          <w:color w:val="000000"/>
          <w:kern w:val="2"/>
          <w:sz w:val="24"/>
          <w:szCs w:val="24"/>
          <w:lang w:val="en-US" w:eastAsia="zh-CN" w:bidi="ar-SA"/>
        </w:rPr>
        <w:t>评估模型在不同预测步长</w:t>
      </w:r>
      <w:r>
        <w:rPr>
          <w:rFonts w:hint="default" w:ascii="Times New Roman" w:hAnsi="Times New Roman" w:eastAsia="宋体" w:cs="Times New Roman"/>
          <w:snapToGrid/>
          <w:color w:val="000000"/>
          <w:kern w:val="2"/>
          <w:sz w:val="24"/>
          <w:szCs w:val="24"/>
          <w:lang w:val="en-US" w:eastAsia="zh-CN" w:bidi="ar-SA"/>
        </w:rPr>
        <w:t> k (如1周后，2周后) 上的未来状态预测准确率，系统验证其预警能力。</w:t>
      </w:r>
    </w:p>
    <w:p w14:paraId="56837436">
      <w:pPr>
        <w:pStyle w:val="3"/>
        <w:keepNext w:val="0"/>
        <w:keepLines w:val="0"/>
        <w:pageBreakBefore w:val="0"/>
        <w:numPr>
          <w:ilvl w:val="0"/>
          <w:numId w:val="3"/>
        </w:numPr>
        <w:wordWrap/>
        <w:overflowPunct/>
        <w:topLinePunct w:val="0"/>
        <w:bidi w:val="0"/>
        <w:snapToGrid/>
        <w:spacing w:line="300" w:lineRule="auto"/>
        <w:ind w:firstLine="480" w:firstLineChars="200"/>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zh-CN" w:bidi="ar-SA"/>
        </w:rPr>
        <w:t>实证分析（针对模型的可解释性）</w:t>
      </w:r>
    </w:p>
    <w:p w14:paraId="0997FCA2">
      <w:pPr>
        <w:pStyle w:val="4"/>
        <w:keepNext w:val="0"/>
        <w:keepLines w:val="0"/>
        <w:widowControl/>
        <w:suppressLineNumbers w:val="0"/>
        <w:spacing w:before="0" w:beforeAutospacing="0" w:after="0" w:afterAutospacing="0"/>
        <w:ind w:left="0" w:right="0" w:firstLine="480" w:firstLineChars="200"/>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zh-CN" w:bidi="ar-SA"/>
        </w:rPr>
        <w:t>案例深度分析</w:t>
      </w:r>
      <w:r>
        <w:rPr>
          <w:rFonts w:hint="default" w:ascii="Times New Roman" w:hAnsi="Times New Roman" w:eastAsia="宋体" w:cs="Times New Roman"/>
          <w:snapToGrid/>
          <w:color w:val="000000"/>
          <w:kern w:val="2"/>
          <w:sz w:val="24"/>
          <w:szCs w:val="24"/>
          <w:lang w:val="en-US" w:eastAsia="zh-CN" w:bidi="ar-SA"/>
        </w:rPr>
        <w:t>：选取1-2个从稳定逐步演变为危机的典型用户案例，全景式展示其多模态数据、模型融合权重的变化、以及状态转移路径，为模型的决策提供现实世界的实证支撑。</w:t>
      </w:r>
    </w:p>
    <w:p w14:paraId="755FD047">
      <w:pPr>
        <w:pStyle w:val="4"/>
        <w:keepNext w:val="0"/>
        <w:keepLines w:val="0"/>
        <w:widowControl/>
        <w:suppressLineNumbers w:val="0"/>
        <w:spacing w:before="0" w:beforeAutospacing="0" w:after="0" w:afterAutospacing="0"/>
        <w:ind w:left="0" w:right="0" w:firstLine="480" w:firstLineChars="200"/>
      </w:pPr>
      <w:r>
        <w:rPr>
          <w:rFonts w:hint="default" w:ascii="Times New Roman" w:hAnsi="Times New Roman" w:eastAsia="宋体" w:cs="Times New Roman"/>
          <w:snapToGrid/>
          <w:color w:val="000000"/>
          <w:kern w:val="2"/>
          <w:sz w:val="24"/>
          <w:szCs w:val="24"/>
          <w:lang w:val="en-US" w:eastAsia="zh-CN" w:bidi="ar-SA"/>
        </w:rPr>
        <w:t>统计相关性分析：统计所有高风险用户案例中，图像和行为模态被赋予高权重的频率，从宏观上验证模型对非文本模态的有效利用。</w:t>
      </w:r>
    </w:p>
    <w:p w14:paraId="454E22DA">
      <w:pPr>
        <w:pStyle w:val="3"/>
        <w:keepNext w:val="0"/>
        <w:keepLines w:val="0"/>
        <w:pageBreakBefore w:val="0"/>
        <w:numPr>
          <w:ilvl w:val="0"/>
          <w:numId w:val="0"/>
        </w:numPr>
        <w:wordWrap/>
        <w:overflowPunct/>
        <w:topLinePunct w:val="0"/>
        <w:bidi w:val="0"/>
        <w:snapToGrid/>
        <w:spacing w:line="300" w:lineRule="auto"/>
        <w:ind w:firstLine="480" w:firstLineChars="200"/>
        <w:rPr>
          <w:rFonts w:hint="default" w:ascii="仿宋" w:hAnsi="Times New Roman" w:eastAsia="仿宋" w:cs="Times New Roman"/>
          <w:snapToGrid/>
          <w:color w:val="auto"/>
          <w:kern w:val="2"/>
          <w:sz w:val="24"/>
          <w:szCs w:val="24"/>
          <w:lang w:val="en-US" w:eastAsia="zh-CN" w:bidi="ar-SA"/>
        </w:rPr>
      </w:pPr>
    </w:p>
    <w:p w14:paraId="1204D6A8">
      <w:pPr>
        <w:widowControl w:val="0"/>
        <w:numPr>
          <w:ilvl w:val="0"/>
          <w:numId w:val="0"/>
        </w:numPr>
        <w:kinsoku/>
        <w:autoSpaceDE/>
        <w:autoSpaceDN/>
        <w:adjustRightInd/>
        <w:snapToGrid/>
        <w:spacing w:before="200" w:after="100"/>
        <w:textAlignment w:val="auto"/>
        <w:outlineLvl w:val="0"/>
        <w:rPr>
          <w:rFonts w:hint="default" w:ascii="Times New Roman" w:hAnsi="Times New Roman" w:eastAsia="仿宋" w:cs="Times New Roman"/>
          <w:snapToGrid/>
          <w:color w:val="auto"/>
          <w:kern w:val="2"/>
          <w:sz w:val="24"/>
          <w:szCs w:val="24"/>
          <w:lang w:val="en-US" w:eastAsia="zh-CN" w:bidi="ar-SA"/>
        </w:rPr>
      </w:pPr>
    </w:p>
    <w:p w14:paraId="1E172BB1">
      <w:pPr>
        <w:snapToGrid/>
        <w:spacing w:line="560" w:lineRule="exact"/>
        <w:ind w:firstLine="482"/>
        <w:rPr>
          <w:rFonts w:hint="eastAsia" w:ascii="仿宋" w:hAnsi="Times New Roman" w:eastAsia="仿宋" w:cs="Times New Roman"/>
          <w:snapToGrid/>
          <w:color w:val="auto"/>
          <w:kern w:val="2"/>
          <w:sz w:val="24"/>
          <w:szCs w:val="24"/>
          <w:lang w:val="en-US" w:eastAsia="zh-CN"/>
        </w:rPr>
      </w:pPr>
    </w:p>
    <w:p w14:paraId="624A2290">
      <w:pPr>
        <w:snapToGrid/>
        <w:spacing w:line="560" w:lineRule="exact"/>
        <w:ind w:firstLine="482"/>
        <w:rPr>
          <w:rFonts w:hint="eastAsia" w:ascii="仿宋" w:hAnsi="Times New Roman" w:eastAsia="仿宋" w:cs="Times New Roman"/>
          <w:snapToGrid/>
          <w:color w:val="auto"/>
          <w:kern w:val="2"/>
          <w:sz w:val="24"/>
          <w:szCs w:val="24"/>
          <w:lang w:val="en-US" w:eastAsia="zh-CN"/>
        </w:rPr>
      </w:pPr>
    </w:p>
    <w:p w14:paraId="3497AF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635C29"/>
    <w:multiLevelType w:val="singleLevel"/>
    <w:tmpl w:val="BB635C29"/>
    <w:lvl w:ilvl="0" w:tentative="0">
      <w:start w:val="1"/>
      <w:numFmt w:val="decimalEnclosedCircleChinese"/>
      <w:suff w:val="nothing"/>
      <w:lvlText w:val="%1　"/>
      <w:lvlJc w:val="left"/>
      <w:pPr>
        <w:ind w:left="0" w:firstLine="400"/>
      </w:pPr>
      <w:rPr>
        <w:rFonts w:hint="eastAsia"/>
      </w:rPr>
    </w:lvl>
  </w:abstractNum>
  <w:abstractNum w:abstractNumId="1">
    <w:nsid w:val="1ED55C32"/>
    <w:multiLevelType w:val="singleLevel"/>
    <w:tmpl w:val="1ED55C32"/>
    <w:lvl w:ilvl="0" w:tentative="0">
      <w:start w:val="2"/>
      <w:numFmt w:val="decimal"/>
      <w:suff w:val="nothing"/>
      <w:lvlText w:val="（%1）"/>
      <w:lvlJc w:val="left"/>
    </w:lvl>
  </w:abstractNum>
  <w:abstractNum w:abstractNumId="2">
    <w:nsid w:val="4A0AE33D"/>
    <w:multiLevelType w:val="singleLevel"/>
    <w:tmpl w:val="4A0AE33D"/>
    <w:lvl w:ilvl="0" w:tentative="0">
      <w:start w:val="5"/>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851BAB"/>
    <w:rsid w:val="36851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2025-10-22T17:00:00Z</dcterms:created>
  <dc:creator>WPS_1692368319</dc:creator>
  <cp:lastModifiedBy>WPS_1692368319</cp:lastModifiedBy>
  <dcterms:modified xsi:type="dcterms:W3CDTF">2025-10-22T17:03:41Z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3C91B3302AF34BC397268C436F007C11_11</vt:lpwstr>
  </property>
  <property fmtid="{D5CDD505-2E9C-101B-9397-08002B2CF9AE}" pid="4" name="KSOTemplateDocerSaveRecord">
    <vt:lpwstr>eyJoZGlkIjoiNzA1MGM1ZTBkN2ZiZGJmNzIxZGNhYmMwYzBhYjA2ZmMiLCJ1c2VySWQiOiIxNTIxNzgzNTY1In0=</vt:lpwstr>
  </property>
</Properties>
</file>