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4C7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《财政行业Web UI测试准则/白皮书》</w:t>
      </w:r>
    </w:p>
    <w:p w14:paraId="0514E9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一、UI测试通过率的定义</w:t>
      </w:r>
    </w:p>
    <w:p w14:paraId="167381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UI测试通过率是指财政Web系统用户界面（UI）测试过程中，通过测试的用例数量占总测试用例数量的百分比，用于衡量UI的符合性和可靠性。</w:t>
      </w:r>
    </w:p>
    <w:p w14:paraId="59A3AC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二、通过率的计算方法</w:t>
      </w:r>
    </w:p>
    <w:p w14:paraId="0A5B2FB9">
      <w:pPr>
        <w:pageBreakBefore w:val="0"/>
        <w:wordWrap/>
        <w:spacing w:before="160" w:after="0"/>
        <w:ind w:left="0" w:right="0"/>
        <w:jc w:val="left"/>
        <w:textAlignment w:val="auto"/>
      </w:pPr>
      <w:r>
        <w:t xml:space="preserve"> </w:t>
      </w:r>
      <m:oMath>
        <m:r>
          <m:rPr/>
          <w:rPr>
            <w:rFonts w:ascii="Cambria Math" w:hAnsi="Cambria Math"/>
          </w:rPr>
          <m:t>通过率=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通过测试用例数</m:t>
                </m:r>
              </m:num>
              <m:den>
                <m:r>
                  <m:rPr/>
                  <w:rPr>
                    <w:rFonts w:ascii="Cambria Math" w:hAnsi="Cambria Math"/>
                  </w:rPr>
                  <m:t>总测试用例数</m:t>
                </m:r>
              </m:den>
            </m:f>
          </m:e>
        </m:d>
        <m:r>
          <m:rPr/>
          <w:rPr>
            <w:rFonts w:ascii="Cambria Math" w:hAnsi="Cambria Math"/>
          </w:rPr>
          <m:t>×100%</m:t>
        </m:r>
      </m:oMath>
    </w:p>
    <w:p w14:paraId="7FB7E67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三、标准制定的依据、数据来源和统计方法</w:t>
      </w:r>
    </w:p>
    <w:p w14:paraId="4094A6F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依据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B998F37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国家及财政行业相关标准（如《GB/T XXXXX-XXXX 软件测试规范》）。</w:t>
      </w:r>
    </w:p>
    <w:p w14:paraId="7B20DE07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财政业务流程的特殊性及合规性要求（如数据保密、资金安全等）。</w:t>
      </w:r>
    </w:p>
    <w:p w14:paraId="6409F109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历史测试数据与用户反馈分析。</w:t>
      </w:r>
    </w:p>
    <w:p w14:paraId="133E3CAC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行业最佳实践与第三方评测报告。</w:t>
      </w:r>
    </w:p>
    <w:p w14:paraId="1AB0A43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数据来源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0DE39E1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自动化测试工具生成的测试结果记录。</w:t>
      </w:r>
    </w:p>
    <w:p w14:paraId="1BCCD814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手工测试的执行日志。</w:t>
      </w:r>
    </w:p>
    <w:p w14:paraId="08F385BE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用户反馈系统收集的缺陷报告。</w:t>
      </w:r>
    </w:p>
    <w:p w14:paraId="4496B6F0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监控系统捕获的性能与异常数据。</w:t>
      </w:r>
    </w:p>
    <w:p w14:paraId="03C4C70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统计方法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3451762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使用测试管理平台（如TestRail、Jira）自动汇总测试结果。</w:t>
      </w:r>
    </w:p>
    <w:p w14:paraId="3E3CA885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结合人工复核关键场景的测试覆盖情况。</w:t>
      </w:r>
    </w:p>
    <w:p w14:paraId="061BAACB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定期（如每周/每月）生成通过率统计报表，并追踪趋势变化。</w:t>
      </w:r>
    </w:p>
    <w:p w14:paraId="40B940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四、财政行业的特殊性</w:t>
      </w:r>
    </w:p>
    <w:p w14:paraId="372A7EC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数据敏感性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：涉及资金流动、政策数据，需严格的安全测试（如加密、权限控制）。</w:t>
      </w:r>
    </w:p>
    <w:p w14:paraId="3F7BBE8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合规性要求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：必须符合财政法规与审计标准，测试需覆盖合规校验流程。</w:t>
      </w:r>
    </w:p>
    <w:p w14:paraId="22EB991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政策变动性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：系统需频繁适配政策调整，要求UI具备高可配置性与兼容性测试。</w:t>
      </w:r>
    </w:p>
    <w:p w14:paraId="42720101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多用户场景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：覆盖政府机构、企业、公众等不同角色的操作场景，需全面场景测试。</w:t>
      </w:r>
    </w:p>
    <w:p w14:paraId="61917EC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跨系统协作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：与预算、税务等系统的数据交互，需强化接口与一致性测试。</w:t>
      </w:r>
    </w:p>
    <w:p w14:paraId="62EAAD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五、不同阶段的通过率要求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6A44C7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  <w:shd w:val="clear" w:color="auto" w:fill="EEEEEE"/>
          </w:tcPr>
          <w:p w14:paraId="41758F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阶段</w:t>
            </w:r>
          </w:p>
        </w:tc>
        <w:tc>
          <w:tcPr>
            <w:tcW w:w="2760" w:type="dxa"/>
            <w:shd w:val="clear" w:color="auto" w:fill="EEEEEE"/>
          </w:tcPr>
          <w:p w14:paraId="2BF633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通过率要求</w:t>
            </w:r>
          </w:p>
        </w:tc>
        <w:tc>
          <w:tcPr>
            <w:tcW w:w="2760" w:type="dxa"/>
            <w:shd w:val="clear" w:color="auto" w:fill="EEEEEE"/>
          </w:tcPr>
          <w:p w14:paraId="456385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说明</w:t>
            </w:r>
          </w:p>
        </w:tc>
      </w:tr>
      <w:tr w14:paraId="3490A2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22D2B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开发自测</w:t>
            </w:r>
          </w:p>
        </w:tc>
        <w:tc>
          <w:tcPr>
            <w:tcW w:w="2760" w:type="dxa"/>
          </w:tcPr>
          <w:p w14:paraId="1A4E64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≥80%</w:t>
            </w:r>
          </w:p>
        </w:tc>
        <w:tc>
          <w:tcPr>
            <w:tcW w:w="2760" w:type="dxa"/>
          </w:tcPr>
          <w:p w14:paraId="42C1DF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确保基础功能无严重缺陷，允许迭代优化。</w:t>
            </w:r>
          </w:p>
        </w:tc>
      </w:tr>
      <w:tr w14:paraId="16C5EE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0C4036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系统测试</w:t>
            </w:r>
          </w:p>
        </w:tc>
        <w:tc>
          <w:tcPr>
            <w:tcW w:w="2760" w:type="dxa"/>
          </w:tcPr>
          <w:p w14:paraId="2524EA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≥90%</w:t>
            </w:r>
          </w:p>
        </w:tc>
        <w:tc>
          <w:tcPr>
            <w:tcW w:w="2760" w:type="dxa"/>
          </w:tcPr>
          <w:p w14:paraId="07F7A0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核心业务流程与安全性达标，缺陷修复率&gt;95%。</w:t>
            </w:r>
          </w:p>
        </w:tc>
      </w:tr>
      <w:tr w14:paraId="503357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1E1C9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验收测试</w:t>
            </w:r>
          </w:p>
        </w:tc>
        <w:tc>
          <w:tcPr>
            <w:tcW w:w="2760" w:type="dxa"/>
          </w:tcPr>
          <w:p w14:paraId="2D53B1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≥95%</w:t>
            </w:r>
          </w:p>
        </w:tc>
        <w:tc>
          <w:tcPr>
            <w:tcW w:w="2760" w:type="dxa"/>
          </w:tcPr>
          <w:p w14:paraId="4E1A1CA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满足所有业务需求，非功能性问题（如性能）需达标。</w:t>
            </w:r>
          </w:p>
        </w:tc>
      </w:tr>
      <w:tr w14:paraId="573A18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67F65B6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上线后维护</w:t>
            </w:r>
          </w:p>
        </w:tc>
        <w:tc>
          <w:tcPr>
            <w:tcW w:w="2760" w:type="dxa"/>
          </w:tcPr>
          <w:p w14:paraId="64C322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持续≥98%</w:t>
            </w:r>
          </w:p>
        </w:tc>
        <w:tc>
          <w:tcPr>
            <w:tcW w:w="2760" w:type="dxa"/>
          </w:tcPr>
          <w:p w14:paraId="376CCA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通过监控与回归测试保持质量，定期修复用户反馈问题。</w:t>
            </w:r>
          </w:p>
        </w:tc>
      </w:tr>
    </w:tbl>
    <w:p w14:paraId="0800232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六、财政行业Web UI测试质量标准体系（8大维度）</w:t>
      </w:r>
    </w:p>
    <w:p w14:paraId="76051C5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以下维度覆盖财政Web UI的核心测试要求，确保全面质量管控：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68B983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060" w:type="dxa"/>
            <w:shd w:val="clear" w:color="auto" w:fill="EEEEEE"/>
          </w:tcPr>
          <w:p w14:paraId="3222797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维度</w:t>
            </w:r>
          </w:p>
        </w:tc>
        <w:tc>
          <w:tcPr>
            <w:tcW w:w="2060" w:type="dxa"/>
            <w:shd w:val="clear" w:color="auto" w:fill="EEEEEE"/>
          </w:tcPr>
          <w:p w14:paraId="4A55F9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覆盖范围</w:t>
            </w:r>
          </w:p>
        </w:tc>
        <w:tc>
          <w:tcPr>
            <w:tcW w:w="2060" w:type="dxa"/>
            <w:shd w:val="clear" w:color="auto" w:fill="EEEEEE"/>
          </w:tcPr>
          <w:p w14:paraId="2FA16F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适用性</w:t>
            </w:r>
          </w:p>
        </w:tc>
        <w:tc>
          <w:tcPr>
            <w:tcW w:w="2060" w:type="dxa"/>
            <w:shd w:val="clear" w:color="auto" w:fill="EEEEEE"/>
          </w:tcPr>
          <w:p w14:paraId="446B41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关键测试项</w:t>
            </w:r>
          </w:p>
        </w:tc>
      </w:tr>
      <w:tr w14:paraId="2CD36D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5E07D7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功能覆盖（F-cover）</w:t>
            </w:r>
          </w:p>
        </w:tc>
        <w:tc>
          <w:tcPr>
            <w:tcW w:w="2060" w:type="dxa"/>
          </w:tcPr>
          <w:p w14:paraId="22AC291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所有功能点（按钮、表单、菜单、流程）是否按需求实现。</w:t>
            </w:r>
          </w:p>
        </w:tc>
        <w:tc>
          <w:tcPr>
            <w:tcW w:w="2060" w:type="dxa"/>
          </w:tcPr>
          <w:p w14:paraId="4210AD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42EE053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功能100%覆盖，需求追溯验证。</w:t>
            </w:r>
          </w:p>
        </w:tc>
      </w:tr>
      <w:tr w14:paraId="38A0B8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2F16CE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场景覆盖（S-cover）</w:t>
            </w:r>
          </w:p>
        </w:tc>
        <w:tc>
          <w:tcPr>
            <w:tcW w:w="2060" w:type="dxa"/>
          </w:tcPr>
          <w:p w14:paraId="18A7AD2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业务场景（如预算编制、拨款申请、报表生成）的全流程测试。</w:t>
            </w:r>
          </w:p>
        </w:tc>
        <w:tc>
          <w:tcPr>
            <w:tcW w:w="2060" w:type="dxa"/>
          </w:tcPr>
          <w:p w14:paraId="65D940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63A1A7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关键业务场景覆盖率≥95%，异常流程测试。</w:t>
            </w:r>
          </w:p>
        </w:tc>
      </w:tr>
      <w:tr w14:paraId="24346B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2FC42F6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参数组合覆盖（P-cover）</w:t>
            </w:r>
          </w:p>
        </w:tc>
        <w:tc>
          <w:tcPr>
            <w:tcW w:w="2060" w:type="dxa"/>
          </w:tcPr>
          <w:p w14:paraId="1C3969E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输入参数的有效性、边界值与组合验证（如金额范围、日期格式）。</w:t>
            </w:r>
          </w:p>
        </w:tc>
        <w:tc>
          <w:tcPr>
            <w:tcW w:w="2060" w:type="dxa"/>
          </w:tcPr>
          <w:p w14:paraId="27CB41E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7B1ABD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参数组合覆盖率≥90%，边界值测试（如最大值、空值）。</w:t>
            </w:r>
          </w:p>
        </w:tc>
      </w:tr>
      <w:tr w14:paraId="4EC290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602246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输出字段覆盖（O-cover）</w:t>
            </w:r>
          </w:p>
        </w:tc>
        <w:tc>
          <w:tcPr>
            <w:tcW w:w="2060" w:type="dxa"/>
          </w:tcPr>
          <w:p w14:paraId="580415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页面展示数据的准确性、完整性（如报表、统计图表）。</w:t>
            </w:r>
          </w:p>
        </w:tc>
        <w:tc>
          <w:tcPr>
            <w:tcW w:w="2060" w:type="dxa"/>
          </w:tcPr>
          <w:p w14:paraId="2308D8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38A90A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输出字段100%验证，数据一致性校验。</w:t>
            </w:r>
          </w:p>
        </w:tc>
      </w:tr>
      <w:tr w14:paraId="7CC2BA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31D8EB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安全覆盖（Secur-cover）</w:t>
            </w:r>
          </w:p>
        </w:tc>
        <w:tc>
          <w:tcPr>
            <w:tcW w:w="2060" w:type="dxa"/>
          </w:tcPr>
          <w:p w14:paraId="2FD0FD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前端安全（XSS、CSRF、SQL注入防御）、权限控制、敏感数据脱敏。</w:t>
            </w:r>
          </w:p>
        </w:tc>
        <w:tc>
          <w:tcPr>
            <w:tcW w:w="2060" w:type="dxa"/>
          </w:tcPr>
          <w:p w14:paraId="2A72F7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1B678F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符合《网络安全法》要求，0高危漏洞。</w:t>
            </w:r>
          </w:p>
        </w:tc>
      </w:tr>
      <w:tr w14:paraId="21C3DF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2B17D5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版本与环境覆盖（Env-cover）</w:t>
            </w:r>
          </w:p>
        </w:tc>
        <w:tc>
          <w:tcPr>
            <w:tcW w:w="2060" w:type="dxa"/>
          </w:tcPr>
          <w:p w14:paraId="6A0CD3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兼容主流浏览器（Chrome、IE11、Firefox）、不同分辨率及操作系统。</w:t>
            </w:r>
          </w:p>
        </w:tc>
        <w:tc>
          <w:tcPr>
            <w:tcW w:w="2060" w:type="dxa"/>
          </w:tcPr>
          <w:p w14:paraId="5856D2A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524A59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覆盖率≥80%目标用户环境，响应式布局测试。</w:t>
            </w:r>
          </w:p>
        </w:tc>
      </w:tr>
      <w:tr w14:paraId="7F97D7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69136A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可靠性与异常覆盖（Reliability-cover）</w:t>
            </w:r>
          </w:p>
        </w:tc>
        <w:tc>
          <w:tcPr>
            <w:tcW w:w="2060" w:type="dxa"/>
          </w:tcPr>
          <w:p w14:paraId="5F48F4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异常输入、网络中断、超时等场景的容错处理与错误提示。</w:t>
            </w:r>
          </w:p>
        </w:tc>
        <w:tc>
          <w:tcPr>
            <w:tcW w:w="2060" w:type="dxa"/>
          </w:tcPr>
          <w:p w14:paraId="0B9222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107AB1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异常处理覆盖率100%，错误信息清晰可追溯。</w:t>
            </w:r>
          </w:p>
        </w:tc>
      </w:tr>
      <w:tr w14:paraId="2E5957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0" w:type="dxa"/>
          </w:tcPr>
          <w:p w14:paraId="669BDF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性能覆盖（Perf-cover）</w:t>
            </w:r>
          </w:p>
        </w:tc>
        <w:tc>
          <w:tcPr>
            <w:tcW w:w="2060" w:type="dxa"/>
          </w:tcPr>
          <w:p w14:paraId="3FDB65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页面加载时间、响应速度、并发处理能力（如高峰期拨款申请）。</w:t>
            </w:r>
          </w:p>
        </w:tc>
        <w:tc>
          <w:tcPr>
            <w:tcW w:w="2060" w:type="dxa"/>
          </w:tcPr>
          <w:p w14:paraId="076A15D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✓ 适用</w:t>
            </w:r>
          </w:p>
        </w:tc>
        <w:tc>
          <w:tcPr>
            <w:tcW w:w="2060" w:type="dxa"/>
          </w:tcPr>
          <w:p w14:paraId="718B6C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核心页面加载≤3秒，TPS达标，压力测试无崩溃。</w:t>
            </w:r>
          </w:p>
        </w:tc>
      </w:tr>
    </w:tbl>
    <w:p w14:paraId="02F7B7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七、附则</w:t>
      </w:r>
    </w:p>
    <w:p w14:paraId="40493B5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本准则需结合具体财政系统需求细化执行。</w:t>
      </w:r>
    </w:p>
    <w:p w14:paraId="5D1F3E52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定期（每半年）评审标准，更新维度权重与通过率要求。</w:t>
      </w:r>
    </w:p>
    <w:p w14:paraId="0032D6C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缺陷分级与修复优先级参考行业标准，确保高风险问题优先处理。</w:t>
      </w:r>
    </w:p>
    <w:p w14:paraId="1B0D73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编制单位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：XXX财政局/技术部门</w:t>
      </w:r>
      <w:r>
        <w:rPr>
          <w:rFonts w:ascii="宋体" w:hAnsi="宋体" w:eastAsia="宋体" w:cs="宋体"/>
          <w:b/>
          <w:i w:val="0"/>
          <w:spacing w:val="0"/>
          <w:sz w:val="24"/>
        </w:rPr>
        <w:t>生效日期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：XXXX年XX月XX日</w:t>
      </w:r>
      <w:r>
        <w:rPr>
          <w:rFonts w:ascii="宋体" w:hAnsi="宋体" w:eastAsia="宋体" w:cs="宋体"/>
          <w:b/>
          <w:i w:val="0"/>
          <w:spacing w:val="0"/>
          <w:sz w:val="24"/>
        </w:rPr>
        <w:t>版本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：VX.X</w:t>
      </w:r>
    </w:p>
    <w:p w14:paraId="6A4D72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--- 文档结束 ---</w:t>
      </w:r>
    </w:p>
    <w:p w14:paraId="77A6CEE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联系方式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：（如有需要可补充联系人信息）</w:t>
      </w:r>
    </w:p>
    <w:p w14:paraId="22F96C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：本文件为参考模板，实际应用需根据项目需求调整。</w:t>
      </w:r>
    </w:p>
    <w:p w14:paraId="2F6C23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格式说明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79BCC04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使用Markdown标题分级（#~######）划分章节。</w:t>
      </w:r>
    </w:p>
    <w:p w14:paraId="7BF566C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表格用分隔，确保对齐清晰。</w:t>
      </w:r>
    </w:p>
    <w:p w14:paraId="20FB8554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公式通过LaTeX语法嵌入（Markdown支持公式渲染时需启用）。</w:t>
      </w:r>
    </w:p>
    <w:p w14:paraId="0AB2C16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勾选框使用表示适用。</w:t>
      </w:r>
    </w:p>
    <w:p w14:paraId="3CC72CF1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009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A4B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7A5C39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1492</Words>
  <Characters>1701</Characters>
  <TotalTime>0</TotalTime>
  <ScaleCrop>false</ScaleCrop>
  <LinksUpToDate>false</LinksUpToDate>
  <CharactersWithSpaces>1718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2026-03-17T11:01:00Z</dcterms:created>
  <dc:creator>Apache POI</dc:creator>
  <cp:lastModifiedBy>孔凡腾</cp:lastModifiedBy>
  <dcterms:modified xsi:type="dcterms:W3CDTF">2026-03-17T11:02:49Z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0myeZ+YasVMFmI+2IFKaCrBDr15iHrgWn7AP4ZlK72U=","ProduceID":"doc_sgs:ceb0b66c-2d86-42db-9f95-e4d252968cd9","ReservedCode2":"0myeZ+YasVMFmI+2IFKaCrBDr15iHrgWn7AP4ZlK72U=","PropagateID":"doc_sgs:ceb0b66c-2d86-42db-9f95-e4d252968cd9","ContentProducer":"001191440101MA9Y9T4H7A00000"}</vt:lpwstr>
  </property>
  <property fmtid="{D5CDD505-2E9C-101B-9397-08002B2CF9AE}" pid="3" name="KSOTemplateDocerSaveRecord">
    <vt:lpwstr>eyJoZGlkIjoiMzQzYjE5MzI1ZjY3YzEyZjAwNDExZWUwOGNlZDRmZTYiLCJ1c2VySWQiOiI1NjI2MDMzNDUifQ==</vt:lpwstr>
  </property>
  <property fmtid="{D5CDD505-2E9C-101B-9397-08002B2CF9AE}" pid="4" name="KSOProductBuildVer">
    <vt:lpwstr>2052-12.1.0.25225</vt:lpwstr>
  </property>
  <property fmtid="{D5CDD505-2E9C-101B-9397-08002B2CF9AE}" pid="5" name="ICV">
    <vt:lpwstr>9D592759C6194A2DA46F6C961E681857_12</vt:lpwstr>
  </property>
</Properties>
</file>