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676D08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财政及银行系统测试用例智能生成体系需求细化</w:t>
      </w:r>
    </w:p>
    <w:p w14:paraId="0F0BD3A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作为深耕财政一体化、预算管理及银行电子化领域的测试专家，面对Vue+Spring Cloud的复杂技术栈，测试用例的生成不能仅停留在功能点的表面覆盖。针对您提出的“依据需求、原型、知识库召回等维度，设置不同等级、维度、产品的测试提示词模板”这一核心诉求，我们需要构建一套分层、多维且具备行业特性的精细化需求体系。</w:t>
      </w:r>
    </w:p>
    <w:p w14:paraId="60A7901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一、需求输入与解析维度</w:t>
      </w:r>
    </w:p>
    <w:p w14:paraId="38372F9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测试用例的生成质量取决于输入信息的完整性和结构化程度。系统需支持多源输入的融合解析，确保AI能够“读懂”财政与银行领域的复杂业务。</w:t>
      </w:r>
    </w:p>
    <w:p w14:paraId="581BB814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需求文档结构化召回</w:t>
      </w:r>
    </w:p>
    <w:p w14:paraId="3ACDA2F3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智能切片与向量化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：系统需能解析PRD文档，自动识别核心模块（如财政的“指标下达”、银行的“资金清算”），并根据业务流程图生成场景法用例。</w:t>
      </w:r>
    </w:p>
    <w:p w14:paraId="2E6BEFB9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关键要素提取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：自动提取业务规则（如预算管理的“科目余额控制逻辑”）、数据约束（如金额字段的精度要求）及异常处理要求。</w:t>
      </w:r>
    </w:p>
    <w:p w14:paraId="75E6AF5A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原型交互逻辑映射</w:t>
      </w:r>
    </w:p>
    <w:p w14:paraId="25802263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Vue组件行为识别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：针对前端Vue框架，系统需能分析原型图中的交互细节（如表单校验规则、弹窗逻辑），生成针对前端组件状态管理的测试点。</w:t>
      </w:r>
    </w:p>
    <w:p w14:paraId="3D63D913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流程完整性校验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：基于原型中的页面跳转逻辑，生成业务流程测试用例，确保Spring Cloud微服务间的调用链路在前端交互中完整体现。</w:t>
      </w:r>
    </w:p>
    <w:p w14:paraId="33382351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知识库经验召回</w:t>
      </w:r>
    </w:p>
    <w:p w14:paraId="2FEBBB6E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历史缺陷模式复用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：自动检索知识库中同类功能（如“审批流”、“凭证生成”）的历史高严重度缺陷，生成针对性的负面测试用例。</w:t>
      </w:r>
    </w:p>
    <w:p w14:paraId="41D9DD1D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财政/银行合规规则库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：内置财政资金管理、银行支付结算的合规性检查点（如“收支两条线”、“借贷平衡”），确保生成的用例覆盖政策红线。</w:t>
      </w:r>
    </w:p>
    <w:p w14:paraId="4420B8C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二、测试提示词模板体系设计</w:t>
      </w:r>
    </w:p>
    <w:p w14:paraId="63C0BD3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提示词模板是AI生成用例的“大脑”，需根据不同产品线、测试等级和质量维度进行精细化设计，避免通用化、模板化的低质量用例。</w:t>
      </w:r>
    </w:p>
    <w:p w14:paraId="3FF5EBB4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产品线差异化模板</w:t>
      </w:r>
    </w:p>
    <w:p w14:paraId="4FCF8F5B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财政一体化/预算管理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：侧重数据一致性（如预算指标与实际支出的勾稽关系）、复杂的审批层级及多维度的统计报表。</w:t>
      </w:r>
    </w:p>
    <w:p w14:paraId="23922CC6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银行电子化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：侧重资金安全（如防重提、防篡改）、高并发交易场景及严格的日终对账流程。</w:t>
      </w:r>
    </w:p>
    <w:p w14:paraId="156795FD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测试等级分层策略</w:t>
      </w:r>
    </w:p>
    <w:p w14:paraId="128325A5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冒烟测试（P0）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：聚焦核心链路，提示词需强调“主流程”、“必现操作”及“系统稳定性”。</w:t>
      </w:r>
    </w:p>
    <w:p w14:paraId="1495FEC1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核心功能（P1）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：覆盖核心业务模块的正向及关键异常场景，提示词需结合具体业务规则（如“录入超预算金额时的提示”）。</w:t>
      </w:r>
    </w:p>
    <w:p w14:paraId="74AF78A6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全面覆盖（P2/P3）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：包含边界值、特殊字符、UI适配及边缘业务场景，提示词需引导AI进行发散性思考（如“尝试使用特殊字符填充所有输入框”）。</w:t>
      </w:r>
    </w:p>
    <w:p w14:paraId="3E833294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质量维度定向生成</w:t>
      </w:r>
    </w:p>
    <w:p w14:paraId="264ACD43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功能正确性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：验证业务逻辑是否符合需求。</w:t>
      </w:r>
    </w:p>
    <w:p w14:paraId="3B824999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数据安全性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：针对银行系统，生成SQL注入、XSS攻击等安全测试用例。</w:t>
      </w:r>
    </w:p>
    <w:p w14:paraId="7E079045">
      <w:pPr>
        <w:pageBreakBefore w:val="0"/>
        <w:numPr>
          <w:ilvl w:val="0"/>
          <w:numId w:val="2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兼容性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：针对Vue前端，生成不同浏览器及分辨率的适配测试点。</w:t>
      </w:r>
    </w:p>
    <w:p w14:paraId="35B3EF4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三、输出规范与质量控制</w:t>
      </w:r>
    </w:p>
    <w:p w14:paraId="7DC9753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生成的测试用例需符合行业标准，具备可直接执行的明确性和可追溯性。</w:t>
      </w:r>
    </w:p>
    <w:p w14:paraId="58FC9373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标准化输出格式</w:t>
      </w:r>
    </w:p>
    <w:p w14:paraId="696CB1D0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核心要素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：强制包含用例ID（遵循规则）、测试名称（动作+对象+场景）、前置条件、测试步骤及明确的预期结果。</w:t>
      </w:r>
    </w:p>
    <w:p w14:paraId="150D12D0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优先级与分类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：自动标注优先级（P0-P3）及测试类型（功能、安全、兼容性）。</w:t>
      </w:r>
    </w:p>
    <w:p w14:paraId="3E6D7F75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多维度质量校验</w:t>
      </w:r>
    </w:p>
    <w:p w14:paraId="0B8A605A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完整性校验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：检查步骤描述是否具体（避免模糊词汇），预期结果是否可量化。</w:t>
      </w:r>
    </w:p>
    <w:p w14:paraId="62FF4F2C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去重与优化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：利用AI进行语义分析，自动合并相似用例，提升用例集的精简度。</w:t>
      </w:r>
    </w:p>
    <w:p w14:paraId="7355A7A3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需求覆盖率分析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：自动比对生成的用例与需求文档中的功能点，计算覆盖率并提示遗漏点。</w:t>
      </w:r>
    </w:p>
    <w:p w14:paraId="52DCC09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四、系统集成与技术实现</w:t>
      </w:r>
    </w:p>
    <w:p w14:paraId="42B89AD8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API集成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：提供标准API接口，可被现有的测试管理平台（如Jira、TestLink）调用，实现用例的自动回填。</w:t>
      </w:r>
    </w:p>
    <w:p w14:paraId="27FA5DAD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</w:pPr>
      <w:r>
        <w:rPr>
          <w:rFonts w:ascii="宋体" w:hAnsi="宋体" w:eastAsia="宋体" w:cs="宋体"/>
          <w:b/>
          <w:i w:val="0"/>
          <w:spacing w:val="0"/>
          <w:sz w:val="24"/>
        </w:rPr>
        <w:t>技术栈适配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：后端利用Python的自然语言处理能力进行需求解析，前端利用Vue组件化思想构建提示词模板库，通过Spring Cloud配置中心统一管理不同环境下的模板策略。</w:t>
      </w:r>
      <w:bookmarkStart w:id="0" w:name="_GoBack"/>
      <w:bookmarkEnd w:id="0"/>
    </w:p>
    <w:sectPr>
      <w:headerReference r:id="rId3" w:type="default"/>
      <w:footerReference r:id="rId4" w:type="default"/>
      <w:pgSz w:w="1190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moder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_GB2312">
    <w:panose1 w:val="02010609030101010101"/>
    <w:charset w:val="86"/>
    <w:family w:val="swiss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9B113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5D36B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lTrailSpace/>
    <w:useFELayout/>
    <w:compatSetting w:name="compatibilityMode" w:uri="http://schemas.microsoft.com/office/word" w:val="15"/>
  </w:compat>
  <w:rsids>
    <w:rsidRoot w:val="00000000"/>
    <w:rsid w:val="1AEE5B8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1438</Words>
  <Characters>1520</Characters>
  <TotalTime>0</TotalTime>
  <ScaleCrop>false</ScaleCrop>
  <LinksUpToDate>false</LinksUpToDate>
  <CharactersWithSpaces>1523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2026-03-13T03:44:00Z</dcterms:created>
  <dc:creator>Apache POI</dc:creator>
  <cp:lastModifiedBy>孔凡腾</cp:lastModifiedBy>
  <dcterms:modified xsi:type="dcterms:W3CDTF">2026-03-13T03:45:43Z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jCt77LKtje5pn9DpruB3X7KKXbAFL80+7HLTd7F6r7U=","ProduceID":"doc_sgs:204dec6e-774c-4319-a9c7-453aa769313a","ReservedCode2":"jCt77LKtje5pn9DpruB3X7KKXbAFL80+7HLTd7F6r7U=","PropagateID":"doc_sgs:204dec6e-774c-4319-a9c7-453aa769313a","ContentProducer":"001191440101MA9Y9T4H7A00000"}</vt:lpwstr>
  </property>
  <property fmtid="{D5CDD505-2E9C-101B-9397-08002B2CF9AE}" pid="3" name="KSOTemplateDocerSaveRecord">
    <vt:lpwstr>eyJoZGlkIjoiMzQzYjE5MzI1ZjY3YzEyZjAwNDExZWUwOGNlZDRmZTYiLCJ1c2VySWQiOiI1NjI2MDMzNDUifQ==</vt:lpwstr>
  </property>
  <property fmtid="{D5CDD505-2E9C-101B-9397-08002B2CF9AE}" pid="4" name="KSOProductBuildVer">
    <vt:lpwstr>2052-12.1.0.25225</vt:lpwstr>
  </property>
  <property fmtid="{D5CDD505-2E9C-101B-9397-08002B2CF9AE}" pid="5" name="ICV">
    <vt:lpwstr>EC6FAB48E28E43BAA81C2ED89D1C51BD_12</vt:lpwstr>
  </property>
</Properties>
</file>