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Microsoft YaHei" w:cs="Microsoft YaHei" w:eastAsia="Microsoft YaHei" w:hAnsi="Microsoft YaHei"/>
          <w:b/>
          <w:bCs/>
          <w:color w:val="4F46E5"/>
          <w:sz w:val="64"/>
          <w:szCs w:val="64"/>
        </w:rPr>
        <w:t xml:space="preserve">BrainWeb3</w:t>
      </w:r>
    </w:p>
    <w:p>
      <w:pPr>
        <w:spacing w:after="0" w:before="120"/>
        <w:jc w:val="center"/>
      </w:pPr>
      <w:r>
        <w:rPr>
          <w:rFonts w:ascii="Microsoft YaHei" w:cs="Microsoft YaHei" w:eastAsia="Microsoft YaHei" w:hAnsi="Microsoft YaHei"/>
          <w:b/>
          <w:bCs/>
          <w:color w:val="0F172A"/>
          <w:sz w:val="44"/>
          <w:szCs w:val="44"/>
        </w:rPr>
        <w:t xml:space="preserve">应用设计文档</w:t>
      </w:r>
    </w:p>
    <w:p>
      <w:pPr>
        <w:spacing w:after="0" w:before="80"/>
        <w:jc w:val="center"/>
      </w:pPr>
      <w:r>
        <w:rPr>
          <w:rFonts w:ascii="Microsoft YaHei" w:cs="Microsoft YaHei" w:eastAsia="Microsoft YaHei" w:hAnsi="Microsoft YaHei"/>
          <w:color w:val="64748B"/>
          <w:sz w:val="22"/>
          <w:szCs w:val="22"/>
        </w:rPr>
        <w:t xml:space="preserve">脑域链医 · 脑电数据治理 / 联邦学习 / 链上存证平台</w:t>
      </w:r>
    </w:p>
    <w:p>
      <w:pPr>
        <w:spacing w:after="0" w:before="1600"/>
        <w:jc w:val="center"/>
      </w:pPr>
      <w:r>
        <w:rPr>
          <w:rFonts w:ascii="Microsoft YaHei" w:cs="Microsoft YaHei" w:eastAsia="Microsoft YaHei" w:hAnsi="Microsoft YaHei"/>
          <w:color w:val="64748B"/>
          <w:sz w:val="20"/>
          <w:szCs w:val="20"/>
        </w:rPr>
        <w:t xml:space="preserve">版本 v1.1　·　2026 年 6 月　·　文档状态：模拟验收阶段，公开演示环境已上线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1. 概述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1.1 定位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BrainWeb3（脑域链医）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是一个围绕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脑电（EEG）数据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的安全治理平台，把「数据接入 → 链上存证 → DID/VC 授权 → 联邦学习 → 审计追溯 → 可视化分析」收敛到同一套全栈 monorepo。核心诉求：在敏感医疗级脑数据的全生命周期里，提供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可治理、可追溯、可验证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的合规闭环。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1.2 关键能力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数据资产化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：EEG 文件上传 → 链下存储 → 链上存证（SM3/哈希 + IPFS CID + 交易哈希）。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访问治理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：按数据集/机构/角色的访问申请—审批—撤销，带时限授权。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神经解码训练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：在已授权数据集上发起解码训练任务（运动想象 / 步态康复 / 语言解码等范式），产出可治理的模型版本。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模型质量验证（L3 领域验证）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：为模型登记可验证的评测证据——测试集/评测脚本指纹 × 指标 → SHA-256 结果哈希 → 锚定上链，按评测方身份给出「自报 / 第三方已验证」徽标。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身份治理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：DID + 可验证凭证（VC）的签发/挂起/吊销，全程留痕。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数据销毁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：被遗忘权闭环（申请→审批→执行→存储清理→证据上链）。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审计与上链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：所有关键操作写审计事件，并按策略选择性锚定区块链。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2. 总体架构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部署单元与依赖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00"/>
        <w:gridCol w:w="1200"/>
        <w:gridCol w:w="2526"/>
      </w:tblGrid>
      <w:tr>
        <w:trPr>
          <w:tblHeader/>
        </w:trP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单元</w:t>
            </w:r>
          </w:p>
        </w:tc>
        <w:tc>
          <w:tcPr>
            <w:tcW w:type="dxa" w:w="3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技术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端口</w:t>
            </w:r>
          </w:p>
        </w:tc>
        <w:tc>
          <w:tcPr>
            <w:tcW w:type="dxa" w:w="2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frontend</w:t>
            </w:r>
          </w:p>
        </w:tc>
        <w:tc>
          <w:tcPr>
            <w:tcW w:type="dxa" w:w="3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Vue 3 + Vite（静态 SPA）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80/443</w:t>
            </w:r>
          </w:p>
        </w:tc>
        <w:tc>
          <w:tcPr>
            <w:tcW w:type="dxa" w:w="2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神经控制台界面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backend</w:t>
            </w:r>
          </w:p>
        </w:tc>
        <w:tc>
          <w:tcPr>
            <w:tcW w:type="dxa" w:w="3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Spring Boot 3.3.5 / Java 17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8080</w:t>
            </w:r>
          </w:p>
        </w:tc>
        <w:tc>
          <w:tcPr>
            <w:tcW w:type="dxa" w:w="2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业务编排、鉴权、链/存储网关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eeg-service</w:t>
            </w:r>
          </w:p>
        </w:tc>
        <w:tc>
          <w:tcPr>
            <w:tcW w:type="dxa" w:w="3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Flask + numpy + mne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8101</w:t>
            </w:r>
          </w:p>
        </w:tc>
        <w:tc>
          <w:tcPr>
            <w:tcW w:type="dxa" w:w="2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EEG 元数据解析、脑区活跃度计算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federated-service</w:t>
            </w:r>
          </w:p>
        </w:tc>
        <w:tc>
          <w:tcPr>
            <w:tcW w:type="dxa" w:w="31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Flask（占位）</w:t>
            </w:r>
          </w:p>
        </w:tc>
        <w:tc>
          <w:tcPr>
            <w:tcW w:type="dxa" w:w="1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8102</w:t>
            </w:r>
          </w:p>
        </w:tc>
        <w:tc>
          <w:tcPr>
            <w:tcW w:type="dxa" w:w="25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联邦训练编排占位（当前 mock）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00"/>
        <w:gridCol w:w="2326"/>
      </w:tblGrid>
      <w:tr>
        <w:trPr>
          <w:tblHeader/>
        </w:trP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依赖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备注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MySQL 8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业务持久化（JPA + Flyway V1–V16）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必需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FISCO BCOS 3.x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业务事件 / 数据资产上链存证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可关闭→Mock 网关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MinIO / 本地磁盘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数据集对象存储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STORAGE_PROVIDER 切换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IPFS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存证 CID 归档层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可选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Redis</w:t>
            </w:r>
          </w:p>
        </w:tc>
        <w:tc>
          <w:tcPr>
            <w:tcW w:type="dxa" w:w="4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预留（当前未消费）</w:t>
            </w:r>
          </w:p>
        </w:tc>
        <w:tc>
          <w:tcPr>
            <w:tcW w:type="dxa" w:w="23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拓扑（单源反向代理）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architecture" descr="图 1 · 系统架构与单源反向代理" title="图 1 · 系统架构与单源反向代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4748B"/>
          <w:sz w:val="18"/>
          <w:szCs w:val="18"/>
        </w:rPr>
        <w:t xml:space="preserve">图 1 · 系统架构与单源反向代理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设计要点：单源反向代理。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前端与 </w:t>
      </w:r>
      <w:r>
        <w:rPr>
          <w:rFonts w:ascii="Consolas" w:cs="Consolas" w:eastAsia="Consolas" w:hAnsi="Consolas"/>
          <w:sz w:val="20"/>
          <w:szCs w:val="20"/>
        </w:rPr>
        <w:t xml:space="preserve">/api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同源（均经 Caddy 转发），后端无需配置跨域（CORS），前端无需改动，HTTPS 由 Caddy 自动签发并续期。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可插拔网关（Mock ↔ Real）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后端通过 </w:t>
      </w:r>
      <w:r>
        <w:rPr>
          <w:rFonts w:ascii="Consolas" w:cs="Consolas" w:eastAsia="Consolas" w:hAnsi="Consolas"/>
          <w:sz w:val="20"/>
          <w:szCs w:val="20"/>
        </w:rPr>
        <w:t xml:space="preserve">GatewayConfiguration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按环境变量注入网关实现，使系统在「演示/本地」与「正式」之间无缝切换：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300"/>
        <w:gridCol w:w="2226"/>
      </w:tblGrid>
      <w:tr>
        <w:trPr>
          <w:tblHeader/>
        </w:trP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网关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选择条件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Mock 实现</w:t>
            </w:r>
          </w:p>
        </w:tc>
        <w:tc>
          <w:tcPr>
            <w:tcW w:type="dxa" w:w="2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Real 实现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ChainGateway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CHAIN_ENABLED &amp;&amp; fisco-bcos-3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MockChainGateway（mock:// 回执）</w:t>
            </w:r>
          </w:p>
        </w:tc>
        <w:tc>
          <w:tcPr>
            <w:tcW w:type="dxa" w:w="2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FiscoBcosChainGateway（懒加载 SDK / 自动部署合约）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StorageGateway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STORAGE_PROVIDER=local|minio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LocalStorageGateway（local://）</w:t>
            </w:r>
          </w:p>
        </w:tc>
        <w:tc>
          <w:tcPr>
            <w:tcW w:type="dxa" w:w="2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MinioStorageGateway（minio://bucket）</w:t>
            </w:r>
          </w:p>
        </w:tc>
      </w:tr>
      <w:tr>
        <w:tc>
          <w:tcPr>
            <w:tcW w:type="dxa" w:w="2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FederatedTrainingGateway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当前仅 Mock</w:t>
            </w:r>
          </w:p>
        </w:tc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MockFederatedTrainingGateway（mock-fate）</w:t>
            </w:r>
          </w:p>
        </w:tc>
        <w:tc>
          <w:tcPr>
            <w:tcW w:type="dxa" w:w="2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（未实现，待接 FATE/Flower）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3. 技术栈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后端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：Spring Boot 3.3.5（Java 17）、Spring Data JPA / Hibernate 6.5、Flyway（V1–V16）、Spring Security + JJWT 0.12、FISCO BCOS Java SDK 3.6.0、MinIO SDK 8.5、Actuator。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前端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：Vue 3.5 + Vite 8 + TypeScript、vue-router 4、Three.js（3D 脑模型）。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：Python（eeg-service：Flask 3 + numpy 2 + mne 1.8；federated-service：Flask 占位）。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基础设施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：MySQL 8、FISCO BCOS 3.x、MinIO、IPFS、（Redis 预留）。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合约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：Solidity 0.8.11（Hardhat 仅本地编译/测试；真实链路收敛到后端 Java SDK）。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4. 角色与权限模型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5726"/>
      </w:tblGrid>
      <w:tr>
        <w:trPr>
          <w:tblHeader/>
        </w:trPr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5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典型权限</w:t>
            </w:r>
          </w:p>
        </w:tc>
      </w:tr>
      <w:tr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researcher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研究员</w:t>
            </w:r>
          </w:p>
        </w:tc>
        <w:tc>
          <w:tcPr>
            <w:tcW w:type="dxa" w:w="5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提交访问申请、查看已授权数据/脑活跃度、发起训练</w:t>
            </w:r>
          </w:p>
        </w:tc>
      </w:tr>
      <w:tr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owner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归属方</w:t>
            </w:r>
          </w:p>
        </w:tc>
        <w:tc>
          <w:tcPr>
            <w:tcW w:type="dxa" w:w="5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代表机构审批访问/销毁、巡检审计、直接读本机构资产</w:t>
            </w:r>
          </w:p>
        </w:tc>
      </w:tr>
      <w:tr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approver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审批人</w:t>
            </w:r>
          </w:p>
        </w:tc>
        <w:tc>
          <w:tcPr>
            <w:tcW w:type="dxa" w:w="5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专注审批流与权限决策</w:t>
            </w:r>
          </w:p>
        </w:tc>
      </w:tr>
      <w:tr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admin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管理员</w:t>
            </w:r>
          </w:p>
        </w:tc>
        <w:tc>
          <w:tcPr>
            <w:tcW w:type="dxa" w:w="5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全局监管：账户治理、链记录监管、身份中心、全量审计</w:t>
            </w:r>
          </w:p>
        </w:tc>
      </w:tr>
    </w:tbl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特权判定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isPrivilegedActor = role ∈ {owner, approver, admin}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</w:t>
      </w:r>
      <w:r>
        <w:rPr>
          <w:rFonts w:ascii="Consolas" w:cs="Consolas" w:eastAsia="Consolas" w:hAnsi="Consolas"/>
          <w:sz w:val="20"/>
          <w:szCs w:val="20"/>
        </w:rPr>
        <w:t xml:space="preserve">isAdmin = role === admin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可见性规则（贯穿各服务）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admin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：全部数据。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owner / approver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：本机构（actorOrg）范围。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requester / actor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：仅自己创建/相关的记录。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后端通过 </w:t>
      </w:r>
      <w:r>
        <w:rPr>
          <w:rFonts w:ascii="Consolas" w:cs="Consolas" w:eastAsia="Consolas" w:hAnsi="Consolas"/>
          <w:sz w:val="20"/>
          <w:szCs w:val="20"/>
        </w:rPr>
        <w:t xml:space="preserve">ActorContextResolver → ActorContext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解析操作者上下文，授权校验下沉到各 Service（如 </w:t>
      </w:r>
      <w:r>
        <w:rPr>
          <w:rFonts w:ascii="Consolas" w:cs="Consolas" w:eastAsia="Consolas" w:hAnsi="Consolas"/>
          <w:sz w:val="20"/>
          <w:szCs w:val="20"/>
        </w:rPr>
        <w:t xml:space="preserve">AccessRequestService.canAccessDataset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5. 功能模块与领域流程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模块全景（前端页面 ↔ 后端模块）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1400"/>
        <w:gridCol w:w="2726"/>
      </w:tblGrid>
      <w:tr>
        <w:trPr>
          <w:tblHeader/>
        </w:trP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前端页面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后端模块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信号色域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职责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总览 Overview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system-status / datasets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青（数据）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工作台首页、上传入口、链路状态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数据详情 DatasetDetail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datasets / eeg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青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3D 脑热力图、脑区指标、存证/门禁/销毁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访问申请 AccessRequests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access-requests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紫（治理）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申请—审批—撤销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销毁流程 Destruction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destruction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红（销毁）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被遗忘权闭环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训练任务 TrainingJobs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training-jobs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青（计算）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任务发起与进度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模型治理 ModelRecords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model-records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紫/青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模型版本与治理状态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身份中心 IdentityCenter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identity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紫（身份）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DID / VC 状态与历史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账户管理 Accounts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auth / account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紫（系统）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账户、密码、凭证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审计中心 Audits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audits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青/琥珀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关键操作时间线</w:t>
            </w:r>
          </w:p>
        </w:tc>
      </w:tr>
      <w:tr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链记录 ChainRecords</w:t>
            </w:r>
          </w:p>
        </w:tc>
        <w:tc>
          <w:tcPr>
            <w:tcW w:type="dxa" w:w="25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chain-records / chain-policy</w:t>
            </w:r>
          </w:p>
        </w:tc>
        <w:tc>
          <w:tcPr>
            <w:tcW w:type="dxa" w:w="1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青/紫</w:t>
            </w:r>
          </w:p>
        </w:tc>
        <w:tc>
          <w:tcPr>
            <w:tcW w:type="dxa" w:w="27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上链状态与策略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核心生命周期（端到端）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每个阶段都会：① 写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审计事件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（无条件）；② 按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链策略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选择性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锚定上链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。下面两张时序图给出两条最关键的链路。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429000"/>
            <wp:effectExtent t="0" r="0" b="0" l="0"/>
            <wp:docPr id="1" name="seq-upload" descr="图 2 · 数据上传与链上存证" title="图 2 · 数据上传与链上存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4748B"/>
          <w:sz w:val="18"/>
          <w:szCs w:val="18"/>
        </w:rPr>
        <w:t xml:space="preserve">图 2 · 数据上传与链上存证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657600"/>
            <wp:effectExtent t="0" r="0" b="0" l="0"/>
            <wp:docPr id="1" name="seq-access" descr="图 3 · 访问治理：申请 → 审批 → 上链 → 读取脑活跃度" title="图 3 · 访问治理：申请 → 审批 → 上链 → 读取脑活跃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4748B"/>
          <w:sz w:val="18"/>
          <w:szCs w:val="18"/>
        </w:rPr>
        <w:t xml:space="preserve">图 3 · 访问治理：申请 → 审批 → 上链 → 读取脑活跃度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状态机汇总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数据集（dataset）的四条状态轴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onsolas" w:cs="Consolas" w:eastAsia="Consolas" w:hAnsi="Consolas"/>
          <w:sz w:val="20"/>
          <w:szCs w:val="20"/>
        </w:rPr>
        <w:t xml:space="preserve">uploadStatus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：received → uploaded（存储成功）/ failed。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onsolas" w:cs="Consolas" w:eastAsia="Consolas" w:hAnsi="Consolas"/>
          <w:sz w:val="20"/>
          <w:szCs w:val="20"/>
        </w:rPr>
        <w:t xml:space="preserve">proofStatus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：pending-storage → storage-persisted →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notarized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；链失败 → finalization-failed（可重试收口）。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onsolas" w:cs="Consolas" w:eastAsia="Consolas" w:hAnsi="Consolas"/>
          <w:sz w:val="20"/>
          <w:szCs w:val="20"/>
        </w:rPr>
        <w:t xml:space="preserve">trainingReadiness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：review-required →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authorized-ready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（存证后）→ blocked（销毁/上传失败）。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Consolas" w:cs="Consolas" w:eastAsia="Consolas" w:hAnsi="Consolas"/>
          <w:sz w:val="20"/>
          <w:szCs w:val="20"/>
        </w:rPr>
        <w:t xml:space="preserve">destructionStatus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：active → pending-destruction → approved-for-destruction → destroyed。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访问申请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pending → approved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（写 expiresAt）/ </w:t>
      </w:r>
      <w:r>
        <w:rPr>
          <w:rFonts w:ascii="Consolas" w:cs="Consolas" w:eastAsia="Consolas" w:hAnsi="Consolas"/>
          <w:sz w:val="20"/>
          <w:szCs w:val="20"/>
        </w:rPr>
        <w:t xml:space="preserve">rejected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</w:t>
      </w:r>
      <w:r>
        <w:rPr>
          <w:rFonts w:ascii="Consolas" w:cs="Consolas" w:eastAsia="Consolas" w:hAnsi="Consolas"/>
          <w:sz w:val="20"/>
          <w:szCs w:val="20"/>
        </w:rPr>
        <w:t xml:space="preserve">approved/pending → revoked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（立即过期）。链 ACCESS_APPROVED / ACCESS_REVOKED。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训练任务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create → running →（refresh）→ succeeded / failed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；成功后自动登记模型（candidate）。链 TRAINING_COMPLETED / TRAINING_FAILED。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模型治理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candidate ↔ active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→ archived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。每次变更链 MODEL_GOVERNED；治理泳道给出版本对比（排名 x/y、与最新偏移）。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数据销毁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pending → approved → executing → completed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（逻辑删除，链 DESTRUCTION_COMPLETED）→ </w:t>
      </w:r>
      <w:r>
        <w:rPr>
          <w:rFonts w:ascii="Consolas" w:cs="Consolas" w:eastAsia="Consolas" w:hAnsi="Consolas"/>
          <w:sz w:val="20"/>
          <w:szCs w:val="20"/>
        </w:rPr>
        <w:t xml:space="preserve">purge-storage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（生成 SHA-256 清理证据，链 DESTRUCTION_STORAGE_PURGED）。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区块链事件策略（ChainPolicyService）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必须上链（required）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：ACCESS_APPROVED、ACCESS_REVOKED、TRAINING_COMPLETED、TRAINING_FAILED、DESTRUCTION_COMPLETED、DESTRUCTION_STORAGE_PURGED、MODEL_REGISTERED、MODEL_GOVERNED。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可选（optional）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：MODEL_EVALUATED（评测证据，未列入配置 → 默认回退 optional，仍会锚定）及其余事件类型的默认回退。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仅审计（audit-only）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：经 disabledEventTypes 配置；shouldAnchor()=false 时记录 anchorStatus=policy-skipped，不调用链网关。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加密与哈希策略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上传指纹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：SHA-256(fileBytes + subjectCode + title)，用于收口重试。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链哈希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：FISCO cryptoSuite.hash() → SM3（国密）或 SHA-256，结果前缀 </w:t>
      </w:r>
      <w:r>
        <w:rPr>
          <w:rFonts w:ascii="Consolas" w:cs="Consolas" w:eastAsia="Consolas" w:hAnsi="Consolas"/>
          <w:sz w:val="20"/>
          <w:szCs w:val="20"/>
        </w:rPr>
        <w:t xml:space="preserve">SM3: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HASH: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销毁证据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：SHA-256(datasetId|provider|storageKey|actorId|cleanedAt)。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DID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did:brainweb3:{机构名 slug}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；IPFS CID 与 off-chain 引用随存证回执返回。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模型质量验证（L3 领域验证证据）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区块链与 DID/VC 默认只解决两层「权威性」：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L1 密码学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（没篡改 / 归属清楚 / 转移有效）与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L2 身份/信誉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（谁发布、谁评测、凭证是否有效）。而「这个模型是否真的像宣称的那样好」属于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L3 领域验证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——它不会因为「上链」就自动成立，必须把可验证材料（固定测试集、评测脚本、可复现结果、第三方签名）显式锚定到链上。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4029075"/>
            <wp:effectExtent t="0" r="0" b="0" l="0"/>
            <wp:docPr id="1" name="trust-layers" descr="图 4 · 资产权威性三层模型与 L3 评测证据闭环" title="图 4 · 资产权威性三层模型与 L3 评测证据闭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i/>
          <w:iCs/>
          <w:color w:val="64748B"/>
          <w:sz w:val="18"/>
          <w:szCs w:val="18"/>
        </w:rPr>
        <w:t xml:space="preserve">图 4 · 资产权威性三层模型与 L3 评测证据闭环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本系统以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EvaluationRun（评测证据）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落地 L3 的最小闭环：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评测三元组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：testSetHash（测试集指纹）× evalScriptHash（评测脚本指纹）× metricsJson（指标），各自留 provenance。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结果哈希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：对「模型 × 数据集 × 测试集 × 脚本 × 指标 × 评测方 × 时间」取 SHA-256 生成 resultHash，使评测结果防篡改、可对账。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锚定上链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：写审计事件 + 触发 MODEL_EVALUATED 链业务记录（默认 optional 策略，仍会锚定，回执含 chainTxHash）。</w:t>
      </w:r>
    </w:p>
    <w:p>
      <w:pPr>
        <w:pStyle w:val="ListParagraph"/>
        <w:numPr>
          <w:ilvl w:val="0"/>
          <w:numId w:val="3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验证徽标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：按「评测方机构 vs 模型归属机构」自动判级——同机构 = self-reported（自报），不同机构 = third-party-verified（第三方已验证）；ModelRecord.verificationStatus 取各评测中的最高级别（unverified &lt; self-reported &lt; third-party-verified）。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设计含义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：模型的质量声明不再是一行「自填文本」，而是指向带哈希、带评测方身份、并锚定到链的可验证证据。前端「模型治理」页提供评测证据面板（提交 + 列表）与模型卡验证徽标。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6. 数据模型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主要表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4826"/>
      </w:tblGrid>
      <w:tr>
        <w:trPr>
          <w:tblHeader/>
        </w:trP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表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主键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关键字段 / 枚举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subject_code, title, owner_organization, format, signal_source(信号源/侵入度档)；upload_status / proof_status / training_readiness / destruction_status；channel/sample_count, duration, sampling_rate；storage_provider/key/uri；proof_fingerprint；destroyed_at/by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data_asset_proofs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dataset_id（1:1）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chain_provider/group, contract_name/address, sm3_hash, ipfs_cid, off_chain_reference, chain_tx_hash, did_holder, access_policy, audit_state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dataset_tags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dataset_id+tag_order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tag_value（有序多值标签）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upload_audits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BIGINT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action(upload/retry/recover), status, message, trace_id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access_requests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actor_id/role/org, purpose, requested/approved_duration_hours, status(pending/approved/rejected/revoked/expired), approver_*, decided_at, expires_at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audit_events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BIGINT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actor_id/role/org, action, status, detail, created_at（全量审计流水）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app_users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actorId, 角色, 机构, 密码哈希, 账户状态(active/disabled)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refresh_tokens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—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user_id, token_hash, expires_at（刷新令牌轮换）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auth_password_reset_tickets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VARCHAR(64)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user_id, token_hash(唯一), expires_at, consumed_at（一次性）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training_jobs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dataset_id, orchestrator, algorithm, model_name, objective, decode_paradigm(解码范式), requested/completed_rounds, status, external_job_ref, metric_summary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model_records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training_job_id(唯一 1:1), dataset_id, governance_status(candidate/active/archived), artifact_ref, metric_summary, last_governed_by, verification_status(unverified/self-reported/third-party-verified), latest_evaluation_id, latest_result_hash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evaluation_runs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model_record_id, dataset_id, evaluator_actor_id/role/org, test_set_hash, eval_script_hash, metrics_json, result_hash(SHA-256), verification_status, notes（L3 评测证据，MODEL_EVALUATED 锚定上链）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chain_business_records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BIGINT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dataset_id, event_type, reference_id, business_status, anchor_status(pending/anchored/failed/policy-skipped), contract_*, event_hash, chain_tx_hash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identity_credential_states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BIGINT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subject_type(user/dataset/model)+subject_key(唯一), credential_status(active/suspended/revoked), updated_by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identity_credential_history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BIGINT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previous_status→next_status, source(manual/derived/legacy-config), reason（不可变历史）</w:t>
            </w:r>
          </w:p>
        </w:tc>
      </w:tr>
      <w:tr>
        <w:tc>
          <w:tcPr>
            <w:tcW w:type="dxa" w:w="23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destruction_requests</w:t>
            </w:r>
          </w:p>
        </w:tc>
        <w:tc>
          <w:tcPr>
            <w:tcW w:type="dxa" w:w="19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 VARCHAR(40)</w:t>
            </w:r>
          </w:p>
        </w:tc>
        <w:tc>
          <w:tcPr>
            <w:tcW w:type="dxa" w:w="48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requester_*, status, approver_*, executed_by, cleanup_status, cleanup_evidence_ref/hash, executed_at</w:t>
            </w:r>
          </w:p>
        </w:tc>
      </w:tr>
    </w:tbl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关系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：datasets 与 data_asset_proofs 一对一；datasets 一对多 access_requests / upload_audits / training_jobs / chain_business_records / destruction_requests；training_jobs 与 model_records 一对一；model_records 一对多 evaluation_runs；identity_credential_states 一对多 history。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7. API 概览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约定：基址 </w:t>
      </w:r>
      <w:r>
        <w:rPr>
          <w:rFonts w:ascii="Consolas" w:cs="Consolas" w:eastAsia="Consolas" w:hAnsi="Consolas"/>
          <w:sz w:val="20"/>
          <w:szCs w:val="20"/>
        </w:rPr>
        <w:t xml:space="preserve">/api/v1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，鉴权 </w:t>
      </w:r>
      <w:r>
        <w:rPr>
          <w:rFonts w:ascii="Consolas" w:cs="Consolas" w:eastAsia="Consolas" w:hAnsi="Consolas"/>
          <w:sz w:val="20"/>
          <w:szCs w:val="20"/>
        </w:rPr>
        <w:t xml:space="preserve">Authorization: Bearer &lt;JWT&gt;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，401 触发前端自动刷新重试。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模块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端点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auth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 /auth/login · /register · /refresh · GET /session · POST /change-password · /password-reset/{request,confirm}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accounts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/accounts/me · GET / · POST / · PATCH /{actorId} · PATCH /{actorId}/credential-status · POST /{actorId}/reset-password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system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/system/status（链提供方、运行阶段、各模块状态）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datasets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 · POST /（multipart 上传）· GET /{id} · POST /{id}/retry-finalization · GET /{id}/brain-activity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access-requests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POST / · GET / · POST /{id}/approve · /reject · /revoke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audits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/（datasetId/actorId/action/status/actorOrg 过滤）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chain-records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/（datasetId/eventType/anchorStatus/...）· POST /{id}/retry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chain-policy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/（链策略规则）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destruction-requests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 · POST / · POST /{id}/approve · /reject · /execute · /purge-storage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identity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/me · /accounts/{actorId} · /organizations · PATCH /organizations/credential-status · POST /verify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training-jobs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 · GET /{id} · POST / · POST /{id}/refresh</w:t>
            </w:r>
          </w:p>
        </w:tc>
      </w:tr>
      <w:tr>
        <w:tc>
          <w:tcPr>
            <w:tcW w:type="dxa" w:w="20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model-records</w:t>
            </w:r>
          </w:p>
        </w:tc>
        <w:tc>
          <w:tcPr>
            <w:tcW w:type="dxa" w:w="70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GET / · GET /{id} · GET /{id}/governance-lane · PATCH /{id}/governance · GET /{id}/evaluations · POST /{id}/evaluations（L3 评测证据）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8. 安全与身份设计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认证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JWT Bearer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：POST /auth/login 签发 token + refreshToken，前端存 localStorage。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会话恢复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：加载时 GET /auth/session 校验；失败则 POST /auth/refresh 轮换；再失败清会话。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密码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：改密吊销全部刷新令牌；重置走一次性票据（带 TTL 与 consumed 标记）。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授权与账户治理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角色 + 机构可见性（见 §4.2）。</w:t>
      </w:r>
      <w:r>
        <w:rPr>
          <w:rFonts w:ascii="Consolas" w:cs="Consolas" w:eastAsia="Consolas" w:hAnsi="Consolas"/>
          <w:sz w:val="20"/>
          <w:szCs w:val="20"/>
        </w:rPr>
        <w:t xml:space="preserve">AccountService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保证任意账户变更后仍至少存活一个 active admin。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身份治理（DID / VC）</w:t>
      </w:r>
    </w:p>
    <w:p>
      <w:pPr>
        <w:spacing w:after="120" w:line="300"/>
      </w:pPr>
      <w:r>
        <w:rPr>
          <w:rFonts w:ascii="Consolas" w:cs="Consolas" w:eastAsia="Consolas" w:hAnsi="Consolas"/>
          <w:sz w:val="20"/>
          <w:szCs w:val="20"/>
        </w:rPr>
        <w:t xml:space="preserve">IdentityCredentialGovernanceService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维护主体（user/dataset/model）凭证状态：issued / suspended / revoked；变更写入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不可变历史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，来源标注 manual / derived / legacy-config，并记审计。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运行时安全护栏（RuntimeSecurityGuardrails）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启动期校验，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仅在非生产态豁免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  <w:r>
        <w:rPr>
          <w:rFonts w:ascii="Consolas" w:cs="Consolas" w:eastAsia="Consolas" w:hAnsi="Consolas"/>
          <w:sz w:val="20"/>
          <w:szCs w:val="20"/>
        </w:rPr>
        <w:t xml:space="preserve">stage ∈ {bootstrap, local, dev, test, ci}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时跳过；其余「生产态」强制要求：① 替换默认 JWT/身份/演示密码；② 关闭演示账号 bootstrap 与演示密码登录。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设计含义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：公开演示环境须将 </w:t>
      </w:r>
      <w:r>
        <w:rPr>
          <w:rFonts w:ascii="Consolas" w:cs="Consolas" w:eastAsia="Consolas" w:hAnsi="Consolas"/>
          <w:sz w:val="20"/>
          <w:szCs w:val="20"/>
        </w:rPr>
        <w:t xml:space="preserve">APP_STAGE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置为 </w:t>
      </w:r>
      <w:r>
        <w:rPr>
          <w:rFonts w:ascii="Consolas" w:cs="Consolas" w:eastAsia="Consolas" w:hAnsi="Consolas"/>
          <w:sz w:val="20"/>
          <w:szCs w:val="20"/>
        </w:rPr>
        <w:t xml:space="preserve">bootstrap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以保留演示登录；正式生产环境则应使用真实运行阶段、替换为强密钥，并关闭演示登录。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其它</w:t>
      </w:r>
    </w:p>
    <w:p>
      <w:pPr>
        <w:spacing w:after="120" w:line="300"/>
      </w:pPr>
      <w:r>
        <w:rPr>
          <w:rFonts w:ascii="Consolas" w:cs="Consolas" w:eastAsia="Consolas" w:hAnsi="Consolas"/>
          <w:sz w:val="20"/>
          <w:szCs w:val="20"/>
        </w:rPr>
        <w:t xml:space="preserve">SensitiveTextSanitizer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对链/状态输出做敏感信息脱敏（detailsRedacted）；必须上链事件提供合规级可验证追溯。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9. 前端设计 ——「神经控制台 / Neural Console」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9.1 设计系统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暗色令牌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：底色 --bg-page #060a14，叠加青/紫径向辉光 + 仪表网格，玻璃面板 backdrop-filter 模糊；文本 --text-strong/main/muted/faint（AA 底线 #8492aa）。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信号色语义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：青 #34e1d6 = 数据/工作台/激活；紫 #a07bff = 治理/身份/系统域；琥珀 #f2b259 = 警告；红 #ff6173 = 销毁/失败。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字体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：Chakra Petch（标题）、Noto Sans SC（正文）、JetBrains Mono（数字/ID/状态读数）。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母题与动效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：登录页循环流动 EEG 电流（青前/紫后）、品牌脉冲突触、consoleRise 错落入场、3D 脑热力图冷→热配色（深蓝→青→品红）；全局 prefers-reduced-motion 降级。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9.2 路由与角色自适应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11 条认证路由 + /login；</w:t>
      </w:r>
      <w:r>
        <w:rPr>
          <w:rFonts w:ascii="Consolas" w:cs="Consolas" w:eastAsia="Consolas" w:hAnsi="Consolas"/>
          <w:sz w:val="20"/>
          <w:szCs w:val="20"/>
        </w:rPr>
        <w:t xml:space="preserve">meta.requiresAuth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守卫：未登录→重定向 /login?redirect=…，已登录访问 /login→跳 /。导航分三域（工作台/治理/系统），标签随角色变化（如「模型治理 vs 模型记录」「监管审计 vs 审计中心」）；researcher 在访问申请页为只读巡检，特权用户才有审批/撤销动作。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10. 部署架构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容器化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三个应用镜像（backend / web(Caddy+SPA) / eeg-service）+ mysql:8.0，由 </w:t>
      </w:r>
      <w:r>
        <w:rPr>
          <w:rFonts w:ascii="Consolas" w:cs="Consolas" w:eastAsia="Consolas" w:hAnsi="Consolas"/>
          <w:sz w:val="20"/>
          <w:szCs w:val="20"/>
        </w:rPr>
        <w:t xml:space="preserve">docker-compose.prod.yml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（可叠加低内存调优 deploy-tune.yml）编排。</w:t>
      </w:r>
      <w:r>
        <w:rPr>
          <w:rFonts w:ascii="Consolas" w:cs="Consolas" w:eastAsia="Consolas" w:hAnsi="Consolas"/>
          <w:sz w:val="20"/>
          <w:szCs w:val="20"/>
        </w:rPr>
        <w:t xml:space="preserve">.github/workflows/build-images.yml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在 GitHub Actions 构建并推 GHCR，低配服务器只 </w:t>
      </w:r>
      <w:r>
        <w:rPr>
          <w:rFonts w:ascii="Consolas" w:cs="Consolas" w:eastAsia="Consolas" w:hAnsi="Consolas"/>
          <w:sz w:val="20"/>
          <w:szCs w:val="20"/>
        </w:rPr>
        <w:t xml:space="preserve">docker compose pull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免编译。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当前演示部署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EEF2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配置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地址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http://47.104.219.238（HTTP + IP）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主机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阿里云 ECS 2vCPU/2GB + 3G swap，Alibaba Cloud Linux 3，Docker CE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运行态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CHAIN_ENABLED=false（Mock 链）· STORAGE_PROVIDER=local · APP_STAGE=bootstrap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演示账号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researcher-01 / owner-01 / approver-01，密码 brainweb3-demo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镜像分发</w:t>
            </w:r>
          </w:p>
        </w:tc>
        <w:tc>
          <w:tcPr>
            <w:tcW w:type="dxa" w:w="7226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Microsoft YaHei" w:cs="Microsoft YaHei" w:eastAsia="Microsoft YaHei" w:hAnsi="Microsoft YaHei"/>
                <w:sz w:val="18"/>
                <w:szCs w:val="18"/>
              </w:rPr>
              <w:t xml:space="preserve">应用镜像经 GHCR 分发；基础镜像通过镜像加速服务获取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正式环境差异</w:t>
      </w:r>
    </w:p>
    <w:p>
      <w:pPr>
        <w:spacing w:after="120" w:line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面向正式生产环境的部署，应完成下列收口：启用真实运行阶段并替换全部默认密钥；开启区块链（</w:t>
      </w:r>
      <w:r>
        <w:rPr>
          <w:rFonts w:ascii="Consolas" w:cs="Consolas" w:eastAsia="Consolas" w:hAnsi="Consolas"/>
          <w:sz w:val="20"/>
          <w:szCs w:val="20"/>
        </w:rPr>
        <w:t xml:space="preserve">CHAIN_ENABLED=true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）并部署 FISCO BCOS 节点与业务合约；将存储切换为对象存储（</w:t>
      </w:r>
      <w:r>
        <w:rPr>
          <w:rFonts w:ascii="Consolas" w:cs="Consolas" w:eastAsia="Consolas" w:hAnsi="Consolas"/>
          <w:sz w:val="20"/>
          <w:szCs w:val="20"/>
        </w:rPr>
        <w:t xml:space="preserve">STORAGE_PROVIDER=minio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）；采用托管数据库实例；并为对外域名启用 HTTPS。需要说明的是，于中国大陆地域以域名对外提供网站服务须依法完成 ICP 备案，亦可部署于免备案地域。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11. 已知边界与演进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联邦学习未真实接入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：federated-service 为占位，MockFederatedTrainingGateway 启发式产出演示指标；后续接 FATE/Flower。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L3 评测证据为最小闭环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：已落地「评测三元组 → 结果哈希 → MODEL_EVALUATED 上链 → 验证徽标」，但指标仍来自占位训练网关；尚缺可复现 eval harness、第三方评测 VC 上链、固定 benchmark 测试集 provenance、zkML/TEE 等更强证据。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Redis 预留未用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：dev 栈已起，后端暂无消费。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链/存储默认降级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：演示默认 Mock 链 + 本地存储。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HTTPS/域名/备案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：演示版为 HTTP+IP。</w:t>
      </w:r>
    </w:p>
    <w:p>
      <w:pPr>
        <w:pStyle w:val="ListParagraph"/>
        <w:numPr>
          <w:ilvl w:val="0"/>
          <w:numId w:val="2"/>
        </w:numPr>
        <w:spacing w:after="50" w:line="2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合规与验收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：当前处于模拟验收阶段，面向正式生产的安全与合规收口事项另行维护于项目交付文档之中。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4A3B8"/>
        <w:sz w:val="16"/>
        <w:szCs w:val="16"/>
      </w:rPr>
      <w:t xml:space="preserve">BrainWeb3 应用设计文档　·　第 </w:t>
    </w:r>
    <w:r>
      <w:rPr>
        <w:rFonts w:ascii="Microsoft YaHei" w:cs="Microsoft YaHei" w:eastAsia="Microsoft YaHei" w:hAnsi="Microsoft Ya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4A3B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YaHei" w:cs="Microsoft YaHei" w:eastAsia="Microsoft YaHei" w:hAnsi="Microsoft YaHei"/>
      <w:b/>
      <w:bCs/>
      <w:color w:val="4F46E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YaHei" w:cs="Microsoft YaHei" w:eastAsia="Microsoft YaHei" w:hAnsi="Microsoft YaHe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Microsoft YaHei" w:cs="Microsoft YaHei" w:eastAsia="Microsoft YaHei" w:hAnsi="Microsoft YaHei"/>
      <w:b/>
      <w:bCs/>
      <w:color w:val="3341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48f1c6f98a4b1f8bb67f06bf4656704614758f.svg"/><Relationship Id="rId9" Type="http://schemas.openxmlformats.org/officeDocument/2006/relationships/image" Target="media/8d8429d4f8bf28b8d8e116af7b9d13dd97b02aaa.png"/><Relationship Id="rId10" Type="http://schemas.openxmlformats.org/officeDocument/2006/relationships/image" Target="media/3e45306740f5eb59824315e9373ef7d4342a1715.svg"/><Relationship Id="rId11" Type="http://schemas.openxmlformats.org/officeDocument/2006/relationships/image" Target="media/15c5903316a0f9ffb244ef541c4522bc9d96a168.png"/><Relationship Id="rId12" Type="http://schemas.openxmlformats.org/officeDocument/2006/relationships/image" Target="media/6f3ccc190e4f5a785eef29f762199033204f4922.svg"/><Relationship Id="rId13" Type="http://schemas.openxmlformats.org/officeDocument/2006/relationships/image" Target="media/a8f59217aec3da87e6c51bfd36a1532dbb2f8700.png"/><Relationship Id="rId14" Type="http://schemas.openxmlformats.org/officeDocument/2006/relationships/image" Target="media/fc3ca35aed2a3761d0bb6a77e7d8f2d754e27440.svg"/><Relationship Id="rId15" Type="http://schemas.openxmlformats.org/officeDocument/2006/relationships/image" Target="media/1dd11b302502fcaf4d32cd550ee1e64eea3893d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BrainWeb3 应用设计文档</dc:title>
  <dc:creator>BrainWeb3</dc:creator>
  <cp:lastModifiedBy>Un-named</cp:lastModifiedBy>
  <cp:revision>1</cp:revision>
  <dcterms:created xsi:type="dcterms:W3CDTF">2026-06-18T06:09:45.157Z</dcterms:created>
  <dcterms:modified xsi:type="dcterms:W3CDTF">2026-06-18T06:09:45.159Z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