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Calibri" w:hAnsi="Calibri"/>
          <w:b/>
          <w:i w:val="0"/>
          <w:color w:val="0AADA2"/>
          <w:sz w:val="72"/>
        </w:rPr>
        <w:t>LifeGate</w:t>
      </w:r>
    </w:p>
    <w:p>
      <w:pPr>
        <w:jc w:val="center"/>
      </w:pPr>
      <w:r>
        <w:rPr>
          <w:rFonts w:ascii="Calibri" w:hAnsi="Calibri"/>
          <w:b/>
          <w:i w:val="0"/>
          <w:color w:val="1A1A2E"/>
          <w:sz w:val="44"/>
        </w:rPr>
        <w:t>CEO LinkedIn Post Calendar</w:t>
      </w:r>
    </w:p>
    <w:p>
      <w:pPr>
        <w:jc w:val="center"/>
      </w:pPr>
      <w:r>
        <w:rPr>
          <w:rFonts w:ascii="Calibri" w:hAnsi="Calibri"/>
          <w:b w:val="0"/>
          <w:i w:val="0"/>
          <w:color w:val="64748B"/>
          <w:sz w:val="28"/>
        </w:rPr>
        <w:t>WEEK 1  ·  June 1 – June 5, 2026</w:t>
      </w:r>
    </w:p>
    <w:p>
      <w:pPr>
        <w:spacing w:before="40" w:after="40"/>
        <w:pBdr>
          <w:bottom w:val="single" w:sz="6" w:space="1" w:color="0AADA2"/>
        </w:pBdr>
      </w:pPr>
    </w:p>
    <w:p>
      <w:pPr>
        <w:jc w:val="center"/>
      </w:pPr>
      <w:r>
        <w:rPr>
          <w:rFonts w:ascii="Calibri" w:hAnsi="Calibri"/>
          <w:b w:val="0"/>
          <w:i/>
          <w:color w:val="64748B"/>
          <w:sz w:val="24"/>
        </w:rPr>
        <w:t>"Your trusted digital health companion."</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0AADA2"/>
          </w:tcPr>
          <w:p>
            <w:r>
              <w:rPr>
                <w:rFonts w:ascii="Calibri" w:hAnsi="Calibri"/>
                <w:b/>
                <w:i w:val="0"/>
                <w:color w:val="FFFFFF"/>
                <w:sz w:val="20"/>
              </w:rPr>
              <w:t>Prepared for</w:t>
            </w:r>
          </w:p>
        </w:tc>
        <w:tc>
          <w:tcPr>
            <w:tcW w:type="dxa" w:w="4703"/>
          </w:tcPr>
          <w:p>
            <w:r>
              <w:rPr>
                <w:rFonts w:ascii="Calibri" w:hAnsi="Calibri"/>
                <w:b w:val="0"/>
                <w:i w:val="0"/>
                <w:color w:val="1A1A2E"/>
                <w:sz w:val="20"/>
              </w:rPr>
              <w:t>CEO, LifeGate (DHSub)</w:t>
            </w:r>
          </w:p>
        </w:tc>
      </w:tr>
      <w:tr>
        <w:tc>
          <w:tcPr>
            <w:tcW w:type="dxa" w:w="4703"/>
            <w:shd w:val="clear" w:color="auto" w:fill="0AADA2"/>
          </w:tcPr>
          <w:p>
            <w:r>
              <w:rPr>
                <w:rFonts w:ascii="Calibri" w:hAnsi="Calibri"/>
                <w:b/>
                <w:i w:val="0"/>
                <w:color w:val="FFFFFF"/>
                <w:sz w:val="20"/>
              </w:rPr>
              <w:t>Campaign Period</w:t>
            </w:r>
          </w:p>
        </w:tc>
        <w:tc>
          <w:tcPr>
            <w:tcW w:type="dxa" w:w="4703"/>
          </w:tcPr>
          <w:p>
            <w:r>
              <w:rPr>
                <w:rFonts w:ascii="Calibri" w:hAnsi="Calibri"/>
                <w:b w:val="0"/>
                <w:i w:val="0"/>
                <w:color w:val="1A1A2E"/>
                <w:sz w:val="20"/>
              </w:rPr>
              <w:t>Week 1 of 6 — June 2026</w:t>
            </w:r>
          </w:p>
        </w:tc>
      </w:tr>
      <w:tr>
        <w:tc>
          <w:tcPr>
            <w:tcW w:type="dxa" w:w="4703"/>
            <w:shd w:val="clear" w:color="auto" w:fill="0AADA2"/>
          </w:tcPr>
          <w:p>
            <w:r>
              <w:rPr>
                <w:rFonts w:ascii="Calibri" w:hAnsi="Calibri"/>
                <w:b/>
                <w:i w:val="0"/>
                <w:color w:val="FFFFFF"/>
                <w:sz w:val="20"/>
              </w:rPr>
              <w:t>Posts this week</w:t>
            </w:r>
          </w:p>
        </w:tc>
        <w:tc>
          <w:tcPr>
            <w:tcW w:type="dxa" w:w="4703"/>
          </w:tcPr>
          <w:p>
            <w:r>
              <w:rPr>
                <w:rFonts w:ascii="Calibri" w:hAnsi="Calibri"/>
                <w:b w:val="0"/>
                <w:i w:val="0"/>
                <w:color w:val="1A1A2E"/>
                <w:sz w:val="20"/>
              </w:rPr>
              <w:t>5 posts (Mon – Fri)</w:t>
            </w:r>
          </w:p>
        </w:tc>
      </w:tr>
    </w:tbl>
    <w:p>
      <w:r>
        <w:br w:type="page"/>
      </w:r>
    </w:p>
    <w:p>
      <w:pPr>
        <w:spacing w:before="120" w:after="80"/>
      </w:pPr>
      <w:r>
        <w:rPr>
          <w:rFonts w:ascii="Calibri" w:hAnsi="Calibri"/>
          <w:b/>
          <w:color w:val="0AADA2"/>
          <w:sz w:val="32"/>
        </w:rPr>
        <w:t>About This Calendar</w:t>
      </w:r>
    </w:p>
    <w:p>
      <w:pPr>
        <w:spacing w:before="40" w:after="40"/>
        <w:pBdr>
          <w:bottom w:val="single" w:sz="6" w:space="1" w:color="0AADA2"/>
        </w:pBdr>
      </w:pPr>
    </w:p>
    <w:p>
      <w:pPr>
        <w:spacing w:after="120" w:before="0"/>
      </w:pPr>
      <w:r>
        <w:rPr>
          <w:rFonts w:ascii="Calibri" w:hAnsi="Calibri"/>
          <w:i w:val="0"/>
          <w:color w:val="1A1A2E"/>
          <w:sz w:val="22"/>
        </w:rPr>
        <w:t>This document contains the Week 1 LinkedIn Post Calendar for the CEO of LifeGate. Each entry includes the post theme, targeted functional domain, recommended tone, suggested hashtags, a call-to-action, and a detailed writing prompt. Use these prompts with any AI writing assistant (or your content team) to generate the final post. The companion document — LifeGate LinkedIn Posts Week 1 — contains the fully written, ready-to-publish versions of each post.</w:t>
      </w:r>
    </w:p>
    <w:p/>
    <w:p>
      <w:pPr>
        <w:spacing w:before="120" w:after="80"/>
      </w:pPr>
      <w:r>
        <w:rPr>
          <w:rFonts w:ascii="Calibri" w:hAnsi="Calibri"/>
          <w:b/>
          <w:color w:val="0AADA2"/>
          <w:sz w:val="32"/>
        </w:rPr>
        <w:t>Week 1 Content Strategy Overview</w:t>
      </w:r>
    </w:p>
    <w:p>
      <w:pPr>
        <w:spacing w:before="40" w:after="40"/>
        <w:pBdr>
          <w:bottom w:val="single" w:sz="6" w:space="1" w:color="0AADA2"/>
        </w:pBdr>
      </w:pP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AADA2"/>
          </w:tcPr>
          <w:p>
            <w:r>
              <w:rPr>
                <w:rFonts w:ascii="Calibri" w:hAnsi="Calibri"/>
                <w:b/>
                <w:i w:val="0"/>
                <w:color w:val="FFFFFF"/>
                <w:sz w:val="20"/>
              </w:rPr>
              <w:t>Day</w:t>
            </w:r>
          </w:p>
        </w:tc>
        <w:tc>
          <w:tcPr>
            <w:tcW w:type="dxa" w:w="2351"/>
            <w:shd w:val="clear" w:color="auto" w:fill="0AADA2"/>
          </w:tcPr>
          <w:p>
            <w:r>
              <w:rPr>
                <w:rFonts w:ascii="Calibri" w:hAnsi="Calibri"/>
                <w:b/>
                <w:i w:val="0"/>
                <w:color w:val="FFFFFF"/>
                <w:sz w:val="20"/>
              </w:rPr>
              <w:t>Theme</w:t>
            </w:r>
          </w:p>
        </w:tc>
        <w:tc>
          <w:tcPr>
            <w:tcW w:type="dxa" w:w="2351"/>
            <w:shd w:val="clear" w:color="auto" w:fill="0AADA2"/>
          </w:tcPr>
          <w:p>
            <w:r>
              <w:rPr>
                <w:rFonts w:ascii="Calibri" w:hAnsi="Calibri"/>
                <w:b/>
                <w:i w:val="0"/>
                <w:color w:val="FFFFFF"/>
                <w:sz w:val="20"/>
              </w:rPr>
              <w:t>Domain</w:t>
            </w:r>
          </w:p>
        </w:tc>
        <w:tc>
          <w:tcPr>
            <w:tcW w:type="dxa" w:w="2351"/>
            <w:shd w:val="clear" w:color="auto" w:fill="0AADA2"/>
          </w:tcPr>
          <w:p>
            <w:r>
              <w:rPr>
                <w:rFonts w:ascii="Calibri" w:hAnsi="Calibri"/>
                <w:b/>
                <w:i w:val="0"/>
                <w:color w:val="FFFFFF"/>
                <w:sz w:val="20"/>
              </w:rPr>
              <w:t>Tone</w:t>
            </w:r>
          </w:p>
        </w:tc>
      </w:tr>
      <w:tr>
        <w:tc>
          <w:tcPr>
            <w:tcW w:type="dxa" w:w="2351"/>
            <w:shd w:val="clear" w:color="auto" w:fill="F5F7FA"/>
          </w:tcPr>
          <w:p>
            <w:r>
              <w:rPr>
                <w:rFonts w:ascii="Calibri" w:hAnsi="Calibri"/>
                <w:b w:val="0"/>
                <w:i w:val="0"/>
                <w:color w:val="1A1A2E"/>
                <w:sz w:val="18"/>
              </w:rPr>
              <w:t>Monday</w:t>
            </w:r>
          </w:p>
        </w:tc>
        <w:tc>
          <w:tcPr>
            <w:tcW w:type="dxa" w:w="2351"/>
            <w:shd w:val="clear" w:color="auto" w:fill="F5F7FA"/>
          </w:tcPr>
          <w:p>
            <w:r>
              <w:rPr>
                <w:rFonts w:ascii="Calibri" w:hAnsi="Calibri"/>
                <w:b w:val="0"/>
                <w:i w:val="0"/>
                <w:color w:val="1A1A2E"/>
                <w:sz w:val="18"/>
              </w:rPr>
              <w:t>Platform Mission &amp; Vision</w:t>
            </w:r>
          </w:p>
        </w:tc>
        <w:tc>
          <w:tcPr>
            <w:tcW w:type="dxa" w:w="2351"/>
            <w:shd w:val="clear" w:color="auto" w:fill="F5F7FA"/>
          </w:tcPr>
          <w:p>
            <w:r>
              <w:rPr>
                <w:rFonts w:ascii="Calibri" w:hAnsi="Calibri"/>
                <w:b w:val="0"/>
                <w:i w:val="0"/>
                <w:color w:val="1A1A2E"/>
                <w:sz w:val="18"/>
              </w:rPr>
              <w:t>Brand / Mission</w:t>
            </w:r>
          </w:p>
        </w:tc>
        <w:tc>
          <w:tcPr>
            <w:tcW w:type="dxa" w:w="2351"/>
            <w:shd w:val="clear" w:color="auto" w:fill="F5F7FA"/>
          </w:tcPr>
          <w:p>
            <w:r>
              <w:rPr>
                <w:rFonts w:ascii="Calibri" w:hAnsi="Calibri"/>
                <w:b w:val="0"/>
                <w:i w:val="0"/>
                <w:color w:val="1A1A2E"/>
                <w:sz w:val="18"/>
              </w:rPr>
              <w:t>Visionary · Inspiring</w:t>
            </w:r>
          </w:p>
        </w:tc>
      </w:tr>
      <w:tr>
        <w:tc>
          <w:tcPr>
            <w:tcW w:type="dxa" w:w="2351"/>
          </w:tcPr>
          <w:p>
            <w:r>
              <w:rPr>
                <w:rFonts w:ascii="Calibri" w:hAnsi="Calibri"/>
                <w:b w:val="0"/>
                <w:i w:val="0"/>
                <w:color w:val="1A1A2E"/>
                <w:sz w:val="18"/>
              </w:rPr>
              <w:t>Tuesday</w:t>
            </w:r>
          </w:p>
        </w:tc>
        <w:tc>
          <w:tcPr>
            <w:tcW w:type="dxa" w:w="2351"/>
          </w:tcPr>
          <w:p>
            <w:r>
              <w:rPr>
                <w:rFonts w:ascii="Calibri" w:hAnsi="Calibri"/>
                <w:b w:val="0"/>
                <w:i w:val="0"/>
                <w:color w:val="1A1A2E"/>
                <w:sz w:val="18"/>
              </w:rPr>
              <w:t>EDIS — AI-Powered Triage Engine</w:t>
            </w:r>
          </w:p>
        </w:tc>
        <w:tc>
          <w:tcPr>
            <w:tcW w:type="dxa" w:w="2351"/>
          </w:tcPr>
          <w:p>
            <w:r>
              <w:rPr>
                <w:rFonts w:ascii="Calibri" w:hAnsi="Calibri"/>
                <w:b w:val="0"/>
                <w:i w:val="0"/>
                <w:color w:val="1A1A2E"/>
                <w:sz w:val="18"/>
              </w:rPr>
              <w:t>Early Detection Intelligence System (EDIS)</w:t>
            </w:r>
          </w:p>
        </w:tc>
        <w:tc>
          <w:tcPr>
            <w:tcW w:type="dxa" w:w="2351"/>
          </w:tcPr>
          <w:p>
            <w:r>
              <w:rPr>
                <w:rFonts w:ascii="Calibri" w:hAnsi="Calibri"/>
                <w:b w:val="0"/>
                <w:i w:val="0"/>
                <w:color w:val="1A1A2E"/>
                <w:sz w:val="18"/>
              </w:rPr>
              <w:t>Educational · Exciting</w:t>
            </w:r>
          </w:p>
        </w:tc>
      </w:tr>
      <w:tr>
        <w:tc>
          <w:tcPr>
            <w:tcW w:type="dxa" w:w="2351"/>
            <w:shd w:val="clear" w:color="auto" w:fill="F5F7FA"/>
          </w:tcPr>
          <w:p>
            <w:r>
              <w:rPr>
                <w:rFonts w:ascii="Calibri" w:hAnsi="Calibri"/>
                <w:b w:val="0"/>
                <w:i w:val="0"/>
                <w:color w:val="1A1A2E"/>
                <w:sz w:val="18"/>
              </w:rPr>
              <w:t>Wednesday</w:t>
            </w:r>
          </w:p>
        </w:tc>
        <w:tc>
          <w:tcPr>
            <w:tcW w:type="dxa" w:w="2351"/>
            <w:shd w:val="clear" w:color="auto" w:fill="F5F7FA"/>
          </w:tcPr>
          <w:p>
            <w:r>
              <w:rPr>
                <w:rFonts w:ascii="Calibri" w:hAnsi="Calibri"/>
                <w:b w:val="0"/>
                <w:i w:val="0"/>
                <w:color w:val="1A1A2E"/>
                <w:sz w:val="18"/>
              </w:rPr>
              <w:t>Physician Validation — Human Oversight in the Loop</w:t>
            </w:r>
          </w:p>
        </w:tc>
        <w:tc>
          <w:tcPr>
            <w:tcW w:type="dxa" w:w="2351"/>
            <w:shd w:val="clear" w:color="auto" w:fill="F5F7FA"/>
          </w:tcPr>
          <w:p>
            <w:r>
              <w:rPr>
                <w:rFonts w:ascii="Calibri" w:hAnsi="Calibri"/>
                <w:b w:val="0"/>
                <w:i w:val="0"/>
                <w:color w:val="1A1A2E"/>
                <w:sz w:val="18"/>
              </w:rPr>
              <w:t>Physician Review &amp; Validation</w:t>
            </w:r>
          </w:p>
        </w:tc>
        <w:tc>
          <w:tcPr>
            <w:tcW w:type="dxa" w:w="2351"/>
            <w:shd w:val="clear" w:color="auto" w:fill="F5F7FA"/>
          </w:tcPr>
          <w:p>
            <w:r>
              <w:rPr>
                <w:rFonts w:ascii="Calibri" w:hAnsi="Calibri"/>
                <w:b w:val="0"/>
                <w:i w:val="0"/>
                <w:color w:val="1A1A2E"/>
                <w:sz w:val="18"/>
              </w:rPr>
              <w:t>Trust-building · Professional</w:t>
            </w:r>
          </w:p>
        </w:tc>
      </w:tr>
      <w:tr>
        <w:tc>
          <w:tcPr>
            <w:tcW w:type="dxa" w:w="2351"/>
          </w:tcPr>
          <w:p>
            <w:r>
              <w:rPr>
                <w:rFonts w:ascii="Calibri" w:hAnsi="Calibri"/>
                <w:b w:val="0"/>
                <w:i w:val="0"/>
                <w:color w:val="1A1A2E"/>
                <w:sz w:val="18"/>
              </w:rPr>
              <w:t>Thursday</w:t>
            </w:r>
          </w:p>
        </w:tc>
        <w:tc>
          <w:tcPr>
            <w:tcW w:type="dxa" w:w="2351"/>
          </w:tcPr>
          <w:p>
            <w:r>
              <w:rPr>
                <w:rFonts w:ascii="Calibri" w:hAnsi="Calibri"/>
                <w:b w:val="0"/>
                <w:i w:val="0"/>
                <w:color w:val="1A1A2E"/>
                <w:sz w:val="18"/>
              </w:rPr>
              <w:t>SafeMed Practices — Privacy, Consent &amp; Data Safety</w:t>
            </w:r>
          </w:p>
        </w:tc>
        <w:tc>
          <w:tcPr>
            <w:tcW w:type="dxa" w:w="2351"/>
          </w:tcPr>
          <w:p>
            <w:r>
              <w:rPr>
                <w:rFonts w:ascii="Calibri" w:hAnsi="Calibri"/>
                <w:b w:val="0"/>
                <w:i w:val="0"/>
                <w:color w:val="1A1A2E"/>
                <w:sz w:val="18"/>
              </w:rPr>
              <w:t>SafeMed / NDPA Compliance / Audit</w:t>
            </w:r>
          </w:p>
        </w:tc>
        <w:tc>
          <w:tcPr>
            <w:tcW w:type="dxa" w:w="2351"/>
          </w:tcPr>
          <w:p>
            <w:r>
              <w:rPr>
                <w:rFonts w:ascii="Calibri" w:hAnsi="Calibri"/>
                <w:b w:val="0"/>
                <w:i w:val="0"/>
                <w:color w:val="1A1A2E"/>
                <w:sz w:val="18"/>
              </w:rPr>
              <w:t>Reassuring · Transparent</w:t>
            </w:r>
          </w:p>
        </w:tc>
      </w:tr>
      <w:tr>
        <w:tc>
          <w:tcPr>
            <w:tcW w:type="dxa" w:w="2351"/>
            <w:shd w:val="clear" w:color="auto" w:fill="F5F7FA"/>
          </w:tcPr>
          <w:p>
            <w:r>
              <w:rPr>
                <w:rFonts w:ascii="Calibri" w:hAnsi="Calibri"/>
                <w:b w:val="0"/>
                <w:i w:val="0"/>
                <w:color w:val="1A1A2E"/>
                <w:sz w:val="18"/>
              </w:rPr>
              <w:t>Friday</w:t>
            </w:r>
          </w:p>
        </w:tc>
        <w:tc>
          <w:tcPr>
            <w:tcW w:type="dxa" w:w="2351"/>
            <w:shd w:val="clear" w:color="auto" w:fill="F5F7FA"/>
          </w:tcPr>
          <w:p>
            <w:r>
              <w:rPr>
                <w:rFonts w:ascii="Calibri" w:hAnsi="Calibri"/>
                <w:b w:val="0"/>
                <w:i w:val="0"/>
                <w:color w:val="1A1A2E"/>
                <w:sz w:val="18"/>
              </w:rPr>
              <w:t>Customer Success — Real Impact Stories</w:t>
            </w:r>
          </w:p>
        </w:tc>
        <w:tc>
          <w:tcPr>
            <w:tcW w:type="dxa" w:w="2351"/>
            <w:shd w:val="clear" w:color="auto" w:fill="F5F7FA"/>
          </w:tcPr>
          <w:p>
            <w:r>
              <w:rPr>
                <w:rFonts w:ascii="Calibri" w:hAnsi="Calibri"/>
                <w:b w:val="0"/>
                <w:i w:val="0"/>
                <w:color w:val="1A1A2E"/>
                <w:sz w:val="18"/>
              </w:rPr>
              <w:t>Customer Success / Patient Experience</w:t>
            </w:r>
          </w:p>
        </w:tc>
        <w:tc>
          <w:tcPr>
            <w:tcW w:type="dxa" w:w="2351"/>
            <w:shd w:val="clear" w:color="auto" w:fill="F5F7FA"/>
          </w:tcPr>
          <w:p>
            <w:r>
              <w:rPr>
                <w:rFonts w:ascii="Calibri" w:hAnsi="Calibri"/>
                <w:b w:val="0"/>
                <w:i w:val="0"/>
                <w:color w:val="1A1A2E"/>
                <w:sz w:val="18"/>
              </w:rPr>
              <w:t>Emotional · Celebratory</w:t>
            </w:r>
          </w:p>
        </w:tc>
      </w:tr>
    </w:tbl>
    <w:p/>
    <w:p>
      <w:r>
        <w:br w:type="page"/>
      </w:r>
    </w:p>
    <w:p>
      <w:pPr>
        <w:spacing w:before="120" w:after="80"/>
        <w:jc w:val="center"/>
      </w:pPr>
      <w:r>
        <w:rPr>
          <w:rFonts w:ascii="Calibri" w:hAnsi="Calibri"/>
          <w:b/>
          <w:color w:val="0AADA2"/>
          <w:sz w:val="36"/>
        </w:rPr>
        <w:t>Week 1 — Post Prompts</w:t>
      </w:r>
    </w:p>
    <w:p/>
    <w:tbl>
      <w:tblPr>
        <w:tblStyle w:val="TableGrid"/>
        <w:tblW w:type="auto" w:w="0"/>
        <w:tblLook w:firstColumn="1" w:firstRow="1" w:lastColumn="0" w:lastRow="0" w:noHBand="0" w:noVBand="1" w:val="04A0"/>
      </w:tblPr>
      <w:tblGrid>
        <w:gridCol w:w="9406"/>
      </w:tblGrid>
      <w:tr>
        <w:tc>
          <w:tcPr>
            <w:tcW w:type="dxa" w:w="9406"/>
            <w:shd w:val="clear" w:color="auto" w:fill="0AADA2"/>
          </w:tcPr>
          <w:p>
            <w:pPr>
              <w:jc w:val="left"/>
            </w:pPr>
            <w:r>
              <w:rPr>
                <w:rFonts w:ascii="Calibri" w:hAnsi="Calibri"/>
                <w:b/>
                <w:i w:val="0"/>
                <w:color w:val="FFFFFF"/>
                <w:sz w:val="24"/>
              </w:rPr>
              <w:t>POST 01  ·  Monday, June 1,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Platform Mission &amp; Vision</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Brand / Mission</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Visionary · Inspiring</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#DigitalHealth #HealthcareForAll #LifeGate #AIHealth #Nigeria</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Follow LifeGate for weekly updates.</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captivating LinkedIn post from the perspective of the CEO of LifeGate, a Nigerian AI-assisted digital health platform. Open with a bold, emotionally resonant hook about the state of healthcare access in Nigeria — long queues, expensive visits, missed early diagnoses. Then introduce LifeGate as the solution: an always-available, AI-powered health companion backed by licensed physicians. Highlight the tagline 'Your trusted digital health companion.' Close with a passionate call to action inviting followers to be part of the movement to democratise healthcare access. Tone: visionary, warm, confident. Length: 180–220 words. Include 5 relevant hashtags.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pPr>
              <w:jc w:val="left"/>
            </w:pPr>
            <w:r>
              <w:rPr>
                <w:rFonts w:ascii="Calibri" w:hAnsi="Calibri"/>
                <w:b/>
                <w:i w:val="0"/>
                <w:color w:val="FFFFFF"/>
                <w:sz w:val="24"/>
              </w:rPr>
              <w:t>POST 02  ·  Tuesday, June 2,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EDIS — AI-Powered Triage Engine</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Early Detection Intelligence System (EDIS)</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Educational · Exciting</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#AITriage #EarlyDetection #HealthTech #EDIS #LifeGate</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Comment 'EDIS' to learn more about our triage technology.</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explaining the EDIS (Early Detection Intelligence System) — the AI probabilistic triage engine at the heart of the platform. Use an analogy to make AI triage relatable (e.g., a highly experienced diagnostician in your pocket). Explain that EDIS analyses patient-reported symptoms conversationally, assigns risk probabilities, and knows exactly when to escalate to a licensed physician. Emphasise that EDIS also interprets vision and audiometry sensor test results. Highlight the dual-mode operation: General Health vs Clinical Diagnosis mode. Keep it accessible — no jargon. Tone: educational, enthusiastic, approachable. Length: 180–220 words.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pPr>
              <w:jc w:val="left"/>
            </w:pPr>
            <w:r>
              <w:rPr>
                <w:rFonts w:ascii="Calibri" w:hAnsi="Calibri"/>
                <w:b/>
                <w:i w:val="0"/>
                <w:color w:val="FFFFFF"/>
                <w:sz w:val="24"/>
              </w:rPr>
              <w:t>POST 03  ·  Wednesday, June 3,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Physician Validation — Human Oversight in the Loop</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Physician Review &amp; Validation</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Trust-building · Professional</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#PhysicianLed #MedicalTrust #AIandDoctors #LifeGate #SafeHealth</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Are you a licensed physician? DM us about joining our network.</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on why LifeGate is NOT just another AI health chatbot. Emphasise the mandatory physician validation layer — every clinical output generated by EDIS must be reviewed and validated by a licensed physician before reaching the patient. Describe the three-state physician workflow (Pending → Active → Completed) and the decision options (Approve, Edit with notes, Reject with reason). Mention MDCN licence verification as the gold standard for physician onboarding. Use the phrase 'AI does the groundwork; physicians own the outcome.' Build trust with medical professionals and patients alike. Tone: authoritative, reassuring. Length: 180–220 words.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pPr>
              <w:jc w:val="left"/>
            </w:pPr>
            <w:r>
              <w:rPr>
                <w:rFonts w:ascii="Calibri" w:hAnsi="Calibri"/>
                <w:b/>
                <w:i w:val="0"/>
                <w:color w:val="FFFFFF"/>
                <w:sz w:val="24"/>
              </w:rPr>
              <w:t>POST 04  ·  Thursday, June 4,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SafeMed Practices — Privacy, Consent &amp; Data Safety</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SafeMed / NDPA Compliance / Audit</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Reassuring · Transparent</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#SafeMed #DataPrivacy #NDPA #PatientSafety #LifeGate</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Your health data is safe with LifeGate. Ask us how.</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introducing LifeGate's SafeMed practices — the platform's framework for patient data safety, privacy, and ethical AI in healthcare. Cover: full NDPA 2023 (Nigeria Data Protection Act) compliance, explicit consent flows before every data collection, complete audit logging of all system actions, anonymised epidemiological surveillance data for public health, and JWT-secured, role-based access control. Use a reassuring, transparent tone that builds patient trust. Mention that healthcare data is among the most sensitive personal data and LifeGate treats it as such. Avoid technical jargon. Length: 180–220 words.</w:t>
            </w:r>
          </w:p>
        </w:tc>
      </w:tr>
    </w:tbl>
    <w:p/>
    <w:p>
      <w:pPr>
        <w:spacing w:before="40" w:after="40"/>
        <w:pBdr>
          <w:bottom w:val="single" w:sz="6" w:space="1" w:color="0AADA2"/>
        </w:pBdr>
      </w:pPr>
    </w:p>
    <w:p/>
    <w:tbl>
      <w:tblPr>
        <w:tblStyle w:val="TableGrid"/>
        <w:tblW w:type="auto" w:w="0"/>
        <w:tblLook w:firstColumn="1" w:firstRow="1" w:lastColumn="0" w:lastRow="0" w:noHBand="0" w:noVBand="1" w:val="04A0"/>
      </w:tblPr>
      <w:tblGrid>
        <w:gridCol w:w="9406"/>
      </w:tblGrid>
      <w:tr>
        <w:tc>
          <w:tcPr>
            <w:tcW w:type="dxa" w:w="9406"/>
            <w:shd w:val="clear" w:color="auto" w:fill="0AADA2"/>
          </w:tcPr>
          <w:p>
            <w:pPr>
              <w:jc w:val="left"/>
            </w:pPr>
            <w:r>
              <w:rPr>
                <w:rFonts w:ascii="Calibri" w:hAnsi="Calibri"/>
                <w:b/>
                <w:i w:val="0"/>
                <w:color w:val="FFFFFF"/>
                <w:sz w:val="24"/>
              </w:rPr>
              <w:t>POST 05  ·  Friday, June 5, 2026</w:t>
            </w:r>
          </w:p>
        </w:tc>
      </w:tr>
    </w:tbl>
    <w:tbl>
      <w:tblPr>
        <w:tblStyle w:val="TableGrid"/>
        <w:tblW w:type="auto" w:w="0"/>
        <w:tblLook w:firstColumn="1" w:firstRow="1" w:lastColumn="0" w:lastRow="0" w:noHBand="0" w:noVBand="1" w:val="04A0"/>
      </w:tblPr>
      <w:tblGrid>
        <w:gridCol w:w="4703"/>
        <w:gridCol w:w="4703"/>
      </w:tblGrid>
      <w:tr>
        <w:tc>
          <w:tcPr>
            <w:tcW w:type="dxa" w:w="4703"/>
            <w:shd w:val="clear" w:color="auto" w:fill="E8F8F7"/>
          </w:tcPr>
          <w:p>
            <w:r>
              <w:rPr>
                <w:rFonts w:ascii="Calibri" w:hAnsi="Calibri"/>
                <w:b/>
                <w:i w:val="0"/>
                <w:color w:val="0AADA2"/>
                <w:sz w:val="18"/>
              </w:rPr>
              <w:t>Theme</w:t>
            </w:r>
          </w:p>
        </w:tc>
        <w:tc>
          <w:tcPr>
            <w:tcW w:type="dxa" w:w="4703"/>
          </w:tcPr>
          <w:p>
            <w:r>
              <w:rPr>
                <w:rFonts w:ascii="Calibri" w:hAnsi="Calibri"/>
                <w:b w:val="0"/>
                <w:i w:val="0"/>
                <w:color w:val="1A1A2E"/>
                <w:sz w:val="18"/>
              </w:rPr>
              <w:t>Customer Success — Real Impact Stories</w:t>
            </w:r>
          </w:p>
        </w:tc>
      </w:tr>
      <w:tr>
        <w:tc>
          <w:tcPr>
            <w:tcW w:type="dxa" w:w="4703"/>
            <w:shd w:val="clear" w:color="auto" w:fill="E8F8F7"/>
          </w:tcPr>
          <w:p>
            <w:r>
              <w:rPr>
                <w:rFonts w:ascii="Calibri" w:hAnsi="Calibri"/>
                <w:b/>
                <w:i w:val="0"/>
                <w:color w:val="0AADA2"/>
                <w:sz w:val="18"/>
              </w:rPr>
              <w:t>Domain</w:t>
            </w:r>
          </w:p>
        </w:tc>
        <w:tc>
          <w:tcPr>
            <w:tcW w:type="dxa" w:w="4703"/>
          </w:tcPr>
          <w:p>
            <w:r>
              <w:rPr>
                <w:rFonts w:ascii="Calibri" w:hAnsi="Calibri"/>
                <w:b w:val="0"/>
                <w:i w:val="0"/>
                <w:color w:val="1A1A2E"/>
                <w:sz w:val="18"/>
              </w:rPr>
              <w:t>Customer Success / Patient Experience</w:t>
            </w:r>
          </w:p>
        </w:tc>
      </w:tr>
      <w:tr>
        <w:tc>
          <w:tcPr>
            <w:tcW w:type="dxa" w:w="4703"/>
            <w:shd w:val="clear" w:color="auto" w:fill="E8F8F7"/>
          </w:tcPr>
          <w:p>
            <w:r>
              <w:rPr>
                <w:rFonts w:ascii="Calibri" w:hAnsi="Calibri"/>
                <w:b/>
                <w:i w:val="0"/>
                <w:color w:val="0AADA2"/>
                <w:sz w:val="18"/>
              </w:rPr>
              <w:t>Tone</w:t>
            </w:r>
          </w:p>
        </w:tc>
        <w:tc>
          <w:tcPr>
            <w:tcW w:type="dxa" w:w="4703"/>
          </w:tcPr>
          <w:p>
            <w:r>
              <w:rPr>
                <w:rFonts w:ascii="Calibri" w:hAnsi="Calibri"/>
                <w:b w:val="0"/>
                <w:i w:val="0"/>
                <w:color w:val="1A1A2E"/>
                <w:sz w:val="18"/>
              </w:rPr>
              <w:t>Emotional · Celebratory</w:t>
            </w:r>
          </w:p>
        </w:tc>
      </w:tr>
      <w:tr>
        <w:tc>
          <w:tcPr>
            <w:tcW w:type="dxa" w:w="4703"/>
            <w:shd w:val="clear" w:color="auto" w:fill="E8F8F7"/>
          </w:tcPr>
          <w:p>
            <w:r>
              <w:rPr>
                <w:rFonts w:ascii="Calibri" w:hAnsi="Calibri"/>
                <w:b/>
                <w:i w:val="0"/>
                <w:color w:val="0AADA2"/>
                <w:sz w:val="18"/>
              </w:rPr>
              <w:t>Hashtags</w:t>
            </w:r>
          </w:p>
        </w:tc>
        <w:tc>
          <w:tcPr>
            <w:tcW w:type="dxa" w:w="4703"/>
          </w:tcPr>
          <w:p>
            <w:r>
              <w:rPr>
                <w:rFonts w:ascii="Calibri" w:hAnsi="Calibri"/>
                <w:b w:val="0"/>
                <w:i w:val="0"/>
                <w:color w:val="1A1A2E"/>
                <w:sz w:val="18"/>
              </w:rPr>
              <w:t>#CustomerSuccess #HealthcareHero #LifeGate #PatientFirst #DigitalHealth</w:t>
            </w:r>
          </w:p>
        </w:tc>
      </w:tr>
      <w:tr>
        <w:tc>
          <w:tcPr>
            <w:tcW w:type="dxa" w:w="4703"/>
            <w:shd w:val="clear" w:color="auto" w:fill="E8F8F7"/>
          </w:tcPr>
          <w:p>
            <w:r>
              <w:rPr>
                <w:rFonts w:ascii="Calibri" w:hAnsi="Calibri"/>
                <w:b/>
                <w:i w:val="0"/>
                <w:color w:val="0AADA2"/>
                <w:sz w:val="18"/>
              </w:rPr>
              <w:t>CTA</w:t>
            </w:r>
          </w:p>
        </w:tc>
        <w:tc>
          <w:tcPr>
            <w:tcW w:type="dxa" w:w="4703"/>
          </w:tcPr>
          <w:p>
            <w:r>
              <w:rPr>
                <w:rFonts w:ascii="Calibri" w:hAnsi="Calibri"/>
                <w:b w:val="0"/>
                <w:i w:val="0"/>
                <w:color w:val="1A1A2E"/>
                <w:sz w:val="18"/>
              </w:rPr>
              <w:t>Share this post with someone who deserves better healthcare access.</w:t>
            </w:r>
          </w:p>
        </w:tc>
      </w:tr>
    </w:tbl>
    <w:p/>
    <w:p>
      <w:r>
        <w:rPr>
          <w:rFonts w:ascii="Calibri" w:hAnsi="Calibri"/>
          <w:b/>
          <w:i w:val="0"/>
          <w:color w:val="0AADA2"/>
          <w:sz w:val="22"/>
        </w:rPr>
        <w:t>✍  Writing Prompt</w:t>
      </w:r>
    </w:p>
    <w:tbl>
      <w:tblPr>
        <w:tblStyle w:val="TableGrid"/>
        <w:tblW w:type="auto" w:w="0"/>
        <w:tblLook w:firstColumn="1" w:firstRow="1" w:lastColumn="0" w:lastRow="0" w:noHBand="0" w:noVBand="1" w:val="04A0"/>
      </w:tblPr>
      <w:tblGrid>
        <w:gridCol w:w="9406"/>
      </w:tblGrid>
      <w:tr>
        <w:tc>
          <w:tcPr>
            <w:tcW w:type="dxa" w:w="9406"/>
            <w:shd w:val="clear" w:color="auto" w:fill="FFFDF0"/>
          </w:tcPr>
          <w:p>
            <w:pPr>
              <w:spacing w:before="80" w:after="80"/>
            </w:pPr>
            <w:r>
              <w:rPr>
                <w:rFonts w:ascii="Calibri" w:hAnsi="Calibri"/>
                <w:b w:val="0"/>
                <w:i/>
                <w:color w:val="1A1A2E"/>
                <w:sz w:val="20"/>
              </w:rPr>
              <w:t>Write a LinkedIn post from the CEO of LifeGate sharing a compelling customer success story (fictional but realistic for the Nigerian context). The story should follow a patient — e.g., a 34-year-old teacher in Kano — who used LifeGate to identify early warning signs of hypertension through the AI chat, was escalated to a physician who confirmed the diagnosis, and received a personalised care plan through the app. Highlight the emotional arc: fear → accessible help → diagnosis → relief → action. Tie the story back to LifeGate's mission of democratising healthcare access. End with an emotional call to action asking followers to share the post. Tone: warm, personal, emotionally compelling. Length: 200–240 words.</w:t>
            </w:r>
          </w:p>
        </w:tc>
      </w:tr>
    </w:tbl>
    <w:p/>
    <w:p>
      <w:r>
        <w:br w:type="page"/>
      </w:r>
    </w:p>
    <w:p>
      <w:pPr>
        <w:jc w:val="center"/>
      </w:pPr>
      <w:r>
        <w:rPr>
          <w:rFonts w:ascii="Calibri" w:hAnsi="Calibri"/>
          <w:b w:val="0"/>
          <w:i w:val="0"/>
          <w:color w:val="64748B"/>
          <w:sz w:val="18"/>
        </w:rPr>
        <w:t>LifeGate  ·  CEO LinkedIn Content Calendar  ·  Week 1 of 6</w:t>
      </w:r>
      <w:r>
        <w:rPr>
          <w:rFonts w:ascii="Calibri" w:hAnsi="Calibri"/>
          <w:b w:val="0"/>
          <w:i w:val="0"/>
          <w:color w:val="64748B"/>
          <w:sz w:val="18"/>
        </w:rPr>
        <w:br/>
        <w:t>Generated: May 2026  ·  Confidential — Internal Use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