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i w:val="0"/>
          <w:color w:val="0AADA2"/>
          <w:sz w:val="72"/>
        </w:rPr>
        <w:t>LifeGate</w:t>
      </w:r>
    </w:p>
    <w:p>
      <w:pPr>
        <w:jc w:val="center"/>
      </w:pPr>
      <w:r>
        <w:rPr>
          <w:rFonts w:ascii="Calibri" w:hAnsi="Calibri"/>
          <w:b/>
          <w:i w:val="0"/>
          <w:color w:val="1A1A2E"/>
          <w:sz w:val="44"/>
        </w:rPr>
        <w:t>CEO LinkedIn Post Calendar</w:t>
      </w:r>
    </w:p>
    <w:p>
      <w:pPr>
        <w:jc w:val="center"/>
      </w:pPr>
      <w:r>
        <w:rPr>
          <w:rFonts w:ascii="Calibri" w:hAnsi="Calibri"/>
          <w:b w:val="0"/>
          <w:i w:val="0"/>
          <w:color w:val="64748B"/>
          <w:sz w:val="28"/>
        </w:rPr>
        <w:t>WEEK 2  ·  June 8 – June 12, 2026</w:t>
      </w:r>
    </w:p>
    <w:p>
      <w:pPr>
        <w:spacing w:before="40" w:after="40"/>
        <w:pBdr>
          <w:bottom w:val="single" w:sz="6" w:space="1" w:color="0AADA2"/>
        </w:pBdr>
      </w:pPr>
    </w:p>
    <w:p>
      <w:pPr>
        <w:jc w:val="center"/>
      </w:pPr>
      <w:r>
        <w:rPr>
          <w:rFonts w:ascii="Calibri" w:hAnsi="Calibri"/>
          <w:b w:val="0"/>
          <w:i/>
          <w:color w:val="64748B"/>
          <w:sz w:val="24"/>
        </w:rPr>
        <w:t>"Your trusted digital health companion."</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AADA2"/>
          </w:tcPr>
          <w:p>
            <w:r>
              <w:rPr>
                <w:rFonts w:ascii="Calibri" w:hAnsi="Calibri"/>
                <w:b/>
                <w:i w:val="0"/>
                <w:color w:val="FFFFFF"/>
                <w:sz w:val="20"/>
              </w:rPr>
              <w:t>Prepared for</w:t>
            </w:r>
          </w:p>
        </w:tc>
        <w:tc>
          <w:tcPr>
            <w:tcW w:type="dxa" w:w="4703"/>
          </w:tcPr>
          <w:p>
            <w:r>
              <w:rPr>
                <w:rFonts w:ascii="Calibri" w:hAnsi="Calibri"/>
                <w:b w:val="0"/>
                <w:i w:val="0"/>
                <w:color w:val="1A1A2E"/>
                <w:sz w:val="20"/>
              </w:rPr>
              <w:t>CEO, LifeGate (DHSub)</w:t>
            </w:r>
          </w:p>
        </w:tc>
      </w:tr>
      <w:tr>
        <w:tc>
          <w:tcPr>
            <w:tcW w:type="dxa" w:w="4703"/>
            <w:shd w:val="clear" w:color="auto" w:fill="0AADA2"/>
          </w:tcPr>
          <w:p>
            <w:r>
              <w:rPr>
                <w:rFonts w:ascii="Calibri" w:hAnsi="Calibri"/>
                <w:b/>
                <w:i w:val="0"/>
                <w:color w:val="FFFFFF"/>
                <w:sz w:val="20"/>
              </w:rPr>
              <w:t>Campaign Period</w:t>
            </w:r>
          </w:p>
        </w:tc>
        <w:tc>
          <w:tcPr>
            <w:tcW w:type="dxa" w:w="4703"/>
          </w:tcPr>
          <w:p>
            <w:r>
              <w:rPr>
                <w:rFonts w:ascii="Calibri" w:hAnsi="Calibri"/>
                <w:b w:val="0"/>
                <w:i w:val="0"/>
                <w:color w:val="1A1A2E"/>
                <w:sz w:val="20"/>
              </w:rPr>
              <w:t>Week 2 of 6 — June 2026</w:t>
            </w:r>
          </w:p>
        </w:tc>
      </w:tr>
      <w:tr>
        <w:tc>
          <w:tcPr>
            <w:tcW w:type="dxa" w:w="4703"/>
            <w:shd w:val="clear" w:color="auto" w:fill="0AADA2"/>
          </w:tcPr>
          <w:p>
            <w:r>
              <w:rPr>
                <w:rFonts w:ascii="Calibri" w:hAnsi="Calibri"/>
                <w:b/>
                <w:i w:val="0"/>
                <w:color w:val="FFFFFF"/>
                <w:sz w:val="20"/>
              </w:rPr>
              <w:t>Posts this week</w:t>
            </w:r>
          </w:p>
        </w:tc>
        <w:tc>
          <w:tcPr>
            <w:tcW w:type="dxa" w:w="4703"/>
          </w:tcPr>
          <w:p>
            <w:r>
              <w:rPr>
                <w:rFonts w:ascii="Calibri" w:hAnsi="Calibri"/>
                <w:b w:val="0"/>
                <w:i w:val="0"/>
                <w:color w:val="1A1A2E"/>
                <w:sz w:val="20"/>
              </w:rPr>
              <w:t>5 posts (Mon – Fri)</w:t>
            </w:r>
          </w:p>
        </w:tc>
      </w:tr>
    </w:tbl>
    <w:p>
      <w:r>
        <w:br w:type="page"/>
      </w:r>
    </w:p>
    <w:p>
      <w:pPr>
        <w:spacing w:before="120" w:after="80"/>
      </w:pPr>
      <w:r>
        <w:rPr>
          <w:rFonts w:ascii="Calibri" w:hAnsi="Calibri"/>
          <w:b/>
          <w:color w:val="0AADA2"/>
          <w:sz w:val="32"/>
        </w:rPr>
        <w:t>About This Calendar</w:t>
      </w:r>
    </w:p>
    <w:p>
      <w:pPr>
        <w:spacing w:before="40" w:after="40"/>
        <w:pBdr>
          <w:bottom w:val="single" w:sz="6" w:space="1" w:color="0AADA2"/>
        </w:pBdr>
      </w:pPr>
    </w:p>
    <w:p>
      <w:pPr>
        <w:spacing w:after="120" w:before="0"/>
      </w:pPr>
      <w:r>
        <w:rPr>
          <w:rFonts w:ascii="Calibri" w:hAnsi="Calibri"/>
          <w:i w:val="0"/>
          <w:color w:val="1A1A2E"/>
          <w:sz w:val="22"/>
        </w:rPr>
        <w:t>This document contains the Week 2 LinkedIn Post Calendar for the CEO of LifeGate. Week 2 expands into platform capabilities: Health Metrics &amp; Wearables, LifeCoins affordable payments, Real-time Communication, Public Health Surveillance, and the LifeGate Health Champions Ambassador Campaign.</w:t>
      </w:r>
    </w:p>
    <w:p/>
    <w:p>
      <w:pPr>
        <w:spacing w:before="120" w:after="80"/>
      </w:pPr>
      <w:r>
        <w:rPr>
          <w:rFonts w:ascii="Calibri" w:hAnsi="Calibri"/>
          <w:b/>
          <w:color w:val="0AADA2"/>
          <w:sz w:val="32"/>
        </w:rPr>
        <w:t>Week 2 Content Strategy Overview</w:t>
      </w:r>
    </w:p>
    <w:p>
      <w:pPr>
        <w:spacing w:before="40" w:after="40"/>
        <w:pBdr>
          <w:bottom w:val="single" w:sz="6" w:space="1" w:color="0AADA2"/>
        </w:pBdr>
      </w:pP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AADA2"/>
          </w:tcPr>
          <w:p>
            <w:r>
              <w:rPr>
                <w:rFonts w:ascii="Calibri" w:hAnsi="Calibri"/>
                <w:b/>
                <w:i w:val="0"/>
                <w:color w:val="FFFFFF"/>
                <w:sz w:val="20"/>
              </w:rPr>
              <w:t>Day</w:t>
            </w:r>
          </w:p>
        </w:tc>
        <w:tc>
          <w:tcPr>
            <w:tcW w:type="dxa" w:w="2351"/>
            <w:shd w:val="clear" w:color="auto" w:fill="0AADA2"/>
          </w:tcPr>
          <w:p>
            <w:r>
              <w:rPr>
                <w:rFonts w:ascii="Calibri" w:hAnsi="Calibri"/>
                <w:b/>
                <w:i w:val="0"/>
                <w:color w:val="FFFFFF"/>
                <w:sz w:val="20"/>
              </w:rPr>
              <w:t>Theme</w:t>
            </w:r>
          </w:p>
        </w:tc>
        <w:tc>
          <w:tcPr>
            <w:tcW w:type="dxa" w:w="2351"/>
            <w:shd w:val="clear" w:color="auto" w:fill="0AADA2"/>
          </w:tcPr>
          <w:p>
            <w:r>
              <w:rPr>
                <w:rFonts w:ascii="Calibri" w:hAnsi="Calibri"/>
                <w:b/>
                <w:i w:val="0"/>
                <w:color w:val="FFFFFF"/>
                <w:sz w:val="20"/>
              </w:rPr>
              <w:t>Domain</w:t>
            </w:r>
          </w:p>
        </w:tc>
        <w:tc>
          <w:tcPr>
            <w:tcW w:type="dxa" w:w="2351"/>
            <w:shd w:val="clear" w:color="auto" w:fill="0AADA2"/>
          </w:tcPr>
          <w:p>
            <w:r>
              <w:rPr>
                <w:rFonts w:ascii="Calibri" w:hAnsi="Calibri"/>
                <w:b/>
                <w:i w:val="0"/>
                <w:color w:val="FFFFFF"/>
                <w:sz w:val="20"/>
              </w:rPr>
              <w:t>Tone</w:t>
            </w:r>
          </w:p>
        </w:tc>
      </w:tr>
      <w:tr>
        <w:tc>
          <w:tcPr>
            <w:tcW w:type="dxa" w:w="2351"/>
            <w:shd w:val="clear" w:color="auto" w:fill="F5F7FA"/>
          </w:tcPr>
          <w:p>
            <w:r>
              <w:rPr>
                <w:rFonts w:ascii="Calibri" w:hAnsi="Calibri"/>
                <w:b w:val="0"/>
                <w:i w:val="0"/>
                <w:color w:val="1A1A2E"/>
                <w:sz w:val="18"/>
              </w:rPr>
              <w:t>Monday</w:t>
            </w:r>
          </w:p>
        </w:tc>
        <w:tc>
          <w:tcPr>
            <w:tcW w:type="dxa" w:w="2351"/>
            <w:shd w:val="clear" w:color="auto" w:fill="F5F7FA"/>
          </w:tcPr>
          <w:p>
            <w:r>
              <w:rPr>
                <w:rFonts w:ascii="Calibri" w:hAnsi="Calibri"/>
                <w:b w:val="0"/>
                <w:i w:val="0"/>
                <w:color w:val="1A1A2E"/>
                <w:sz w:val="18"/>
              </w:rPr>
              <w:t>Health Metrics &amp; Wearables — Know Your Numbers</w:t>
            </w:r>
          </w:p>
        </w:tc>
        <w:tc>
          <w:tcPr>
            <w:tcW w:type="dxa" w:w="2351"/>
            <w:shd w:val="clear" w:color="auto" w:fill="F5F7FA"/>
          </w:tcPr>
          <w:p>
            <w:r>
              <w:rPr>
                <w:rFonts w:ascii="Calibri" w:hAnsi="Calibri"/>
                <w:b w:val="0"/>
                <w:i w:val="0"/>
                <w:color w:val="1A1A2E"/>
                <w:sz w:val="18"/>
              </w:rPr>
              <w:t>Health Metrics / Wearable Sync</w:t>
            </w:r>
          </w:p>
        </w:tc>
        <w:tc>
          <w:tcPr>
            <w:tcW w:type="dxa" w:w="2351"/>
            <w:shd w:val="clear" w:color="auto" w:fill="F5F7FA"/>
          </w:tcPr>
          <w:p>
            <w:r>
              <w:rPr>
                <w:rFonts w:ascii="Calibri" w:hAnsi="Calibri"/>
                <w:b w:val="0"/>
                <w:i w:val="0"/>
                <w:color w:val="1A1A2E"/>
                <w:sz w:val="18"/>
              </w:rPr>
              <w:t>Empowering · Data-driven</w:t>
            </w:r>
          </w:p>
        </w:tc>
      </w:tr>
      <w:tr>
        <w:tc>
          <w:tcPr>
            <w:tcW w:type="dxa" w:w="2351"/>
          </w:tcPr>
          <w:p>
            <w:r>
              <w:rPr>
                <w:rFonts w:ascii="Calibri" w:hAnsi="Calibri"/>
                <w:b w:val="0"/>
                <w:i w:val="0"/>
                <w:color w:val="1A1A2E"/>
                <w:sz w:val="18"/>
              </w:rPr>
              <w:t>Tuesday</w:t>
            </w:r>
          </w:p>
        </w:tc>
        <w:tc>
          <w:tcPr>
            <w:tcW w:type="dxa" w:w="2351"/>
          </w:tcPr>
          <w:p>
            <w:r>
              <w:rPr>
                <w:rFonts w:ascii="Calibri" w:hAnsi="Calibri"/>
                <w:b w:val="0"/>
                <w:i w:val="0"/>
                <w:color w:val="1A1A2E"/>
                <w:sz w:val="18"/>
              </w:rPr>
              <w:t>LifeCoins — Making Quality Healthcare Affordable</w:t>
            </w:r>
          </w:p>
        </w:tc>
        <w:tc>
          <w:tcPr>
            <w:tcW w:type="dxa" w:w="2351"/>
          </w:tcPr>
          <w:p>
            <w:r>
              <w:rPr>
                <w:rFonts w:ascii="Calibri" w:hAnsi="Calibri"/>
                <w:b w:val="0"/>
                <w:i w:val="0"/>
                <w:color w:val="1A1A2E"/>
                <w:sz w:val="18"/>
              </w:rPr>
              <w:t>Payments / LifeCoins / Paystack</w:t>
            </w:r>
          </w:p>
        </w:tc>
        <w:tc>
          <w:tcPr>
            <w:tcW w:type="dxa" w:w="2351"/>
          </w:tcPr>
          <w:p>
            <w:r>
              <w:rPr>
                <w:rFonts w:ascii="Calibri" w:hAnsi="Calibri"/>
                <w:b w:val="0"/>
                <w:i w:val="0"/>
                <w:color w:val="1A1A2E"/>
                <w:sz w:val="18"/>
              </w:rPr>
              <w:t>Inclusive · Bold</w:t>
            </w:r>
          </w:p>
        </w:tc>
      </w:tr>
      <w:tr>
        <w:tc>
          <w:tcPr>
            <w:tcW w:type="dxa" w:w="2351"/>
            <w:shd w:val="clear" w:color="auto" w:fill="F5F7FA"/>
          </w:tcPr>
          <w:p>
            <w:r>
              <w:rPr>
                <w:rFonts w:ascii="Calibri" w:hAnsi="Calibri"/>
                <w:b w:val="0"/>
                <w:i w:val="0"/>
                <w:color w:val="1A1A2E"/>
                <w:sz w:val="18"/>
              </w:rPr>
              <w:t>Wednesday</w:t>
            </w:r>
          </w:p>
        </w:tc>
        <w:tc>
          <w:tcPr>
            <w:tcW w:type="dxa" w:w="2351"/>
            <w:shd w:val="clear" w:color="auto" w:fill="F5F7FA"/>
          </w:tcPr>
          <w:p>
            <w:r>
              <w:rPr>
                <w:rFonts w:ascii="Calibri" w:hAnsi="Calibri"/>
                <w:b w:val="0"/>
                <w:i w:val="0"/>
                <w:color w:val="1A1A2E"/>
                <w:sz w:val="18"/>
              </w:rPr>
              <w:t>Real-time Communication — Closing the Gap Between Patient &amp; Physician</w:t>
            </w:r>
          </w:p>
        </w:tc>
        <w:tc>
          <w:tcPr>
            <w:tcW w:type="dxa" w:w="2351"/>
            <w:shd w:val="clear" w:color="auto" w:fill="F5F7FA"/>
          </w:tcPr>
          <w:p>
            <w:r>
              <w:rPr>
                <w:rFonts w:ascii="Calibri" w:hAnsi="Calibri"/>
                <w:b w:val="0"/>
                <w:i w:val="0"/>
                <w:color w:val="1A1A2E"/>
                <w:sz w:val="18"/>
              </w:rPr>
              <w:t>Instant Messaging / Voice &amp; Video Calls (WebRTC)</w:t>
            </w:r>
          </w:p>
        </w:tc>
        <w:tc>
          <w:tcPr>
            <w:tcW w:type="dxa" w:w="2351"/>
            <w:shd w:val="clear" w:color="auto" w:fill="F5F7FA"/>
          </w:tcPr>
          <w:p>
            <w:r>
              <w:rPr>
                <w:rFonts w:ascii="Calibri" w:hAnsi="Calibri"/>
                <w:b w:val="0"/>
                <w:i w:val="0"/>
                <w:color w:val="1A1A2E"/>
                <w:sz w:val="18"/>
              </w:rPr>
              <w:t>Human · Warm</w:t>
            </w:r>
          </w:p>
        </w:tc>
      </w:tr>
      <w:tr>
        <w:tc>
          <w:tcPr>
            <w:tcW w:type="dxa" w:w="2351"/>
          </w:tcPr>
          <w:p>
            <w:r>
              <w:rPr>
                <w:rFonts w:ascii="Calibri" w:hAnsi="Calibri"/>
                <w:b w:val="0"/>
                <w:i w:val="0"/>
                <w:color w:val="1A1A2E"/>
                <w:sz w:val="18"/>
              </w:rPr>
              <w:t>Thursday</w:t>
            </w:r>
          </w:p>
        </w:tc>
        <w:tc>
          <w:tcPr>
            <w:tcW w:type="dxa" w:w="2351"/>
          </w:tcPr>
          <w:p>
            <w:r>
              <w:rPr>
                <w:rFonts w:ascii="Calibri" w:hAnsi="Calibri"/>
                <w:b w:val="0"/>
                <w:i w:val="0"/>
                <w:color w:val="1A1A2E"/>
                <w:sz w:val="18"/>
              </w:rPr>
              <w:t>Public Health Surveillance — Data That Saves Communities</w:t>
            </w:r>
          </w:p>
        </w:tc>
        <w:tc>
          <w:tcPr>
            <w:tcW w:type="dxa" w:w="2351"/>
          </w:tcPr>
          <w:p>
            <w:r>
              <w:rPr>
                <w:rFonts w:ascii="Calibri" w:hAnsi="Calibri"/>
                <w:b w:val="0"/>
                <w:i w:val="0"/>
                <w:color w:val="1A1A2E"/>
                <w:sz w:val="18"/>
              </w:rPr>
              <w:t>Surveillance / Public Health Analytics / Research</w:t>
            </w:r>
          </w:p>
        </w:tc>
        <w:tc>
          <w:tcPr>
            <w:tcW w:type="dxa" w:w="2351"/>
          </w:tcPr>
          <w:p>
            <w:r>
              <w:rPr>
                <w:rFonts w:ascii="Calibri" w:hAnsi="Calibri"/>
                <w:b w:val="0"/>
                <w:i w:val="0"/>
                <w:color w:val="1A1A2E"/>
                <w:sz w:val="18"/>
              </w:rPr>
              <w:t>Authoritative · Purposeful</w:t>
            </w:r>
          </w:p>
        </w:tc>
      </w:tr>
      <w:tr>
        <w:tc>
          <w:tcPr>
            <w:tcW w:type="dxa" w:w="2351"/>
            <w:shd w:val="clear" w:color="auto" w:fill="F5F7FA"/>
          </w:tcPr>
          <w:p>
            <w:r>
              <w:rPr>
                <w:rFonts w:ascii="Calibri" w:hAnsi="Calibri"/>
                <w:b w:val="0"/>
                <w:i w:val="0"/>
                <w:color w:val="1A1A2E"/>
                <w:sz w:val="18"/>
              </w:rPr>
              <w:t>Friday</w:t>
            </w:r>
          </w:p>
        </w:tc>
        <w:tc>
          <w:tcPr>
            <w:tcW w:type="dxa" w:w="2351"/>
            <w:shd w:val="clear" w:color="auto" w:fill="F5F7FA"/>
          </w:tcPr>
          <w:p>
            <w:r>
              <w:rPr>
                <w:rFonts w:ascii="Calibri" w:hAnsi="Calibri"/>
                <w:b w:val="0"/>
                <w:i w:val="0"/>
                <w:color w:val="1A1A2E"/>
                <w:sz w:val="18"/>
              </w:rPr>
              <w:t>Ambassador Campaign — Become a LifeGate Health Champion</w:t>
            </w:r>
          </w:p>
        </w:tc>
        <w:tc>
          <w:tcPr>
            <w:tcW w:type="dxa" w:w="2351"/>
            <w:shd w:val="clear" w:color="auto" w:fill="F5F7FA"/>
          </w:tcPr>
          <w:p>
            <w:r>
              <w:rPr>
                <w:rFonts w:ascii="Calibri" w:hAnsi="Calibri"/>
                <w:b w:val="0"/>
                <w:i w:val="0"/>
                <w:color w:val="1A1A2E"/>
                <w:sz w:val="18"/>
              </w:rPr>
              <w:t>Ambassador Campaign / Community Advocacy</w:t>
            </w:r>
          </w:p>
        </w:tc>
        <w:tc>
          <w:tcPr>
            <w:tcW w:type="dxa" w:w="2351"/>
            <w:shd w:val="clear" w:color="auto" w:fill="F5F7FA"/>
          </w:tcPr>
          <w:p>
            <w:r>
              <w:rPr>
                <w:rFonts w:ascii="Calibri" w:hAnsi="Calibri"/>
                <w:b w:val="0"/>
                <w:i w:val="0"/>
                <w:color w:val="1A1A2E"/>
                <w:sz w:val="18"/>
              </w:rPr>
              <w:t>Energetic · Community-driven</w:t>
            </w:r>
          </w:p>
        </w:tc>
      </w:tr>
    </w:tbl>
    <w:p/>
    <w:p>
      <w:r>
        <w:br w:type="page"/>
      </w:r>
    </w:p>
    <w:p>
      <w:pPr>
        <w:spacing w:before="120" w:after="80"/>
        <w:jc w:val="center"/>
      </w:pPr>
      <w:r>
        <w:rPr>
          <w:rFonts w:ascii="Calibri" w:hAnsi="Calibri"/>
          <w:b/>
          <w:color w:val="0AADA2"/>
          <w:sz w:val="36"/>
        </w:rPr>
        <w:t>Week 2 — Post Prompts</w:t>
      </w:r>
    </w:p>
    <w:p/>
    <w:tbl>
      <w:tblPr>
        <w:tblStyle w:val="TableGrid"/>
        <w:tblW w:type="auto" w:w="0"/>
        <w:tblLook w:firstColumn="1" w:firstRow="1" w:lastColumn="0" w:lastRow="0" w:noHBand="0" w:noVBand="1" w:val="04A0"/>
      </w:tblPr>
      <w:tblGrid>
        <w:gridCol w:w="9406"/>
      </w:tblGrid>
      <w:tr>
        <w:tc>
          <w:tcPr>
            <w:tcW w:type="dxa" w:w="9406"/>
            <w:shd w:val="clear" w:color="auto" w:fill="0AADA2"/>
          </w:tcPr>
          <w:p>
            <w:r>
              <w:rPr>
                <w:rFonts w:ascii="Calibri" w:hAnsi="Calibri"/>
                <w:b/>
                <w:i w:val="0"/>
                <w:color w:val="FFFFFF"/>
                <w:sz w:val="24"/>
              </w:rPr>
              <w:t>POST 06  ·  Monday, June 8, 2026</w:t>
            </w:r>
          </w:p>
        </w:tc>
      </w:tr>
    </w:tbl>
    <w:tbl>
      <w:tblPr>
        <w:tblStyle w:val="TableGrid"/>
        <w:tblW w:type="auto" w:w="0"/>
        <w:tblLook w:firstColumn="1" w:firstRow="1" w:lastColumn="0" w:lastRow="0" w:noHBand="0" w:noVBand="1" w:val="04A0"/>
      </w:tblPr>
      <w:tblGrid>
        <w:gridCol w:w="4703"/>
        <w:gridCol w:w="4703"/>
      </w:tblGrid>
      <w:tr>
        <w:tc>
          <w:tcPr>
            <w:tcW w:type="dxa" w:w="4703"/>
            <w:shd w:val="clear" w:color="auto" w:fill="E8F8F7"/>
          </w:tcPr>
          <w:p>
            <w:r>
              <w:rPr>
                <w:rFonts w:ascii="Calibri" w:hAnsi="Calibri"/>
                <w:b/>
                <w:i w:val="0"/>
                <w:color w:val="0AADA2"/>
                <w:sz w:val="18"/>
              </w:rPr>
              <w:t>Theme</w:t>
            </w:r>
          </w:p>
        </w:tc>
        <w:tc>
          <w:tcPr>
            <w:tcW w:type="dxa" w:w="4703"/>
          </w:tcPr>
          <w:p>
            <w:r>
              <w:rPr>
                <w:rFonts w:ascii="Calibri" w:hAnsi="Calibri"/>
                <w:b w:val="0"/>
                <w:i w:val="0"/>
                <w:color w:val="1A1A2E"/>
                <w:sz w:val="18"/>
              </w:rPr>
              <w:t>Health Metrics &amp; Wearables — Know Your Numbers</w:t>
            </w:r>
          </w:p>
        </w:tc>
      </w:tr>
      <w:tr>
        <w:tc>
          <w:tcPr>
            <w:tcW w:type="dxa" w:w="4703"/>
            <w:shd w:val="clear" w:color="auto" w:fill="E8F8F7"/>
          </w:tcPr>
          <w:p>
            <w:r>
              <w:rPr>
                <w:rFonts w:ascii="Calibri" w:hAnsi="Calibri"/>
                <w:b/>
                <w:i w:val="0"/>
                <w:color w:val="0AADA2"/>
                <w:sz w:val="18"/>
              </w:rPr>
              <w:t>Domain</w:t>
            </w:r>
          </w:p>
        </w:tc>
        <w:tc>
          <w:tcPr>
            <w:tcW w:type="dxa" w:w="4703"/>
          </w:tcPr>
          <w:p>
            <w:r>
              <w:rPr>
                <w:rFonts w:ascii="Calibri" w:hAnsi="Calibri"/>
                <w:b w:val="0"/>
                <w:i w:val="0"/>
                <w:color w:val="1A1A2E"/>
                <w:sz w:val="18"/>
              </w:rPr>
              <w:t>Health Metrics / Wearable Sync</w:t>
            </w:r>
          </w:p>
        </w:tc>
      </w:tr>
      <w:tr>
        <w:tc>
          <w:tcPr>
            <w:tcW w:type="dxa" w:w="4703"/>
            <w:shd w:val="clear" w:color="auto" w:fill="E8F8F7"/>
          </w:tcPr>
          <w:p>
            <w:r>
              <w:rPr>
                <w:rFonts w:ascii="Calibri" w:hAnsi="Calibri"/>
                <w:b/>
                <w:i w:val="0"/>
                <w:color w:val="0AADA2"/>
                <w:sz w:val="18"/>
              </w:rPr>
              <w:t>Tone</w:t>
            </w:r>
          </w:p>
        </w:tc>
        <w:tc>
          <w:tcPr>
            <w:tcW w:type="dxa" w:w="4703"/>
          </w:tcPr>
          <w:p>
            <w:r>
              <w:rPr>
                <w:rFonts w:ascii="Calibri" w:hAnsi="Calibri"/>
                <w:b w:val="0"/>
                <w:i w:val="0"/>
                <w:color w:val="1A1A2E"/>
                <w:sz w:val="18"/>
              </w:rPr>
              <w:t>Empowering · Data-driven</w:t>
            </w:r>
          </w:p>
        </w:tc>
      </w:tr>
      <w:tr>
        <w:tc>
          <w:tcPr>
            <w:tcW w:type="dxa" w:w="4703"/>
            <w:shd w:val="clear" w:color="auto" w:fill="E8F8F7"/>
          </w:tcPr>
          <w:p>
            <w:r>
              <w:rPr>
                <w:rFonts w:ascii="Calibri" w:hAnsi="Calibri"/>
                <w:b/>
                <w:i w:val="0"/>
                <w:color w:val="0AADA2"/>
                <w:sz w:val="18"/>
              </w:rPr>
              <w:t>Hashtags</w:t>
            </w:r>
          </w:p>
        </w:tc>
        <w:tc>
          <w:tcPr>
            <w:tcW w:type="dxa" w:w="4703"/>
          </w:tcPr>
          <w:p>
            <w:r>
              <w:rPr>
                <w:rFonts w:ascii="Calibri" w:hAnsi="Calibri"/>
                <w:b w:val="0"/>
                <w:i w:val="0"/>
                <w:color w:val="1A1A2E"/>
                <w:sz w:val="18"/>
              </w:rPr>
              <w:t>#HealthMetrics #WearableTech #PreventiveHealth #LifeGate #DigitalHealth</w:t>
            </w:r>
          </w:p>
        </w:tc>
      </w:tr>
      <w:tr>
        <w:tc>
          <w:tcPr>
            <w:tcW w:type="dxa" w:w="4703"/>
            <w:shd w:val="clear" w:color="auto" w:fill="E8F8F7"/>
          </w:tcPr>
          <w:p>
            <w:r>
              <w:rPr>
                <w:rFonts w:ascii="Calibri" w:hAnsi="Calibri"/>
                <w:b/>
                <w:i w:val="0"/>
                <w:color w:val="0AADA2"/>
                <w:sz w:val="18"/>
              </w:rPr>
              <w:t>CTA</w:t>
            </w:r>
          </w:p>
        </w:tc>
        <w:tc>
          <w:tcPr>
            <w:tcW w:type="dxa" w:w="4703"/>
          </w:tcPr>
          <w:p>
            <w:r>
              <w:rPr>
                <w:rFonts w:ascii="Calibri" w:hAnsi="Calibri"/>
                <w:b w:val="0"/>
                <w:i w:val="0"/>
                <w:color w:val="1A1A2E"/>
                <w:sz w:val="18"/>
              </w:rPr>
              <w:t>What health metric do you track daily? Tell us in the comments.</w:t>
            </w:r>
          </w:p>
        </w:tc>
      </w:tr>
    </w:tbl>
    <w:p/>
    <w:p>
      <w:r>
        <w:rPr>
          <w:rFonts w:ascii="Calibri" w:hAnsi="Calibri"/>
          <w:b/>
          <w:i w:val="0"/>
          <w:color w:val="0AADA2"/>
          <w:sz w:val="22"/>
        </w:rPr>
        <w:t>✍  Writing Prompt</w:t>
      </w:r>
    </w:p>
    <w:tbl>
      <w:tblPr>
        <w:tblStyle w:val="TableGrid"/>
        <w:tblW w:type="auto" w:w="0"/>
        <w:tblLook w:firstColumn="1" w:firstRow="1" w:lastColumn="0" w:lastRow="0" w:noHBand="0" w:noVBand="1" w:val="04A0"/>
      </w:tblPr>
      <w:tblGrid>
        <w:gridCol w:w="9406"/>
      </w:tblGrid>
      <w:tr>
        <w:tc>
          <w:tcPr>
            <w:tcW w:type="dxa" w:w="9406"/>
            <w:shd w:val="clear" w:color="auto" w:fill="FFFDF0"/>
          </w:tcPr>
          <w:p>
            <w:pPr>
              <w:spacing w:before="80" w:after="80"/>
            </w:pPr>
            <w:r>
              <w:rPr>
                <w:rFonts w:ascii="Calibri" w:hAnsi="Calibri"/>
                <w:b w:val="0"/>
                <w:i/>
                <w:color w:val="1A1A2E"/>
                <w:sz w:val="20"/>
              </w:rPr>
              <w:t>Write a LinkedIn post from the CEO of LifeGate on the power of continuous health monitoring. Explain that LifeGate syncs with wearables to track steps, active minutes, distance, and calories — and feeds this data into the patient's health profile so physicians have full context during case reviews. Use a compelling analogy: health data is like a financial statement — you can't manage what you don't measure. Highlight how passive data collection (vs manual entry) removes friction and encourages consistent health tracking. Tie it to early detection — small data trends that prevent big health surprises. Tone: empowering, data-driven, accessible. Length: 180–220 words.</w:t>
            </w:r>
          </w:p>
        </w:tc>
      </w:tr>
    </w:tbl>
    <w:p/>
    <w:p>
      <w:pPr>
        <w:spacing w:before="40" w:after="40"/>
        <w:pBdr>
          <w:bottom w:val="single" w:sz="6" w:space="1" w:color="0AADA2"/>
        </w:pBdr>
      </w:pPr>
    </w:p>
    <w:p/>
    <w:tbl>
      <w:tblPr>
        <w:tblStyle w:val="TableGrid"/>
        <w:tblW w:type="auto" w:w="0"/>
        <w:tblLook w:firstColumn="1" w:firstRow="1" w:lastColumn="0" w:lastRow="0" w:noHBand="0" w:noVBand="1" w:val="04A0"/>
      </w:tblPr>
      <w:tblGrid>
        <w:gridCol w:w="9406"/>
      </w:tblGrid>
      <w:tr>
        <w:tc>
          <w:tcPr>
            <w:tcW w:type="dxa" w:w="9406"/>
            <w:shd w:val="clear" w:color="auto" w:fill="0AADA2"/>
          </w:tcPr>
          <w:p>
            <w:r>
              <w:rPr>
                <w:rFonts w:ascii="Calibri" w:hAnsi="Calibri"/>
                <w:b/>
                <w:i w:val="0"/>
                <w:color w:val="FFFFFF"/>
                <w:sz w:val="24"/>
              </w:rPr>
              <w:t>POST 07  ·  Tuesday, June 9, 2026</w:t>
            </w:r>
          </w:p>
        </w:tc>
      </w:tr>
    </w:tbl>
    <w:tbl>
      <w:tblPr>
        <w:tblStyle w:val="TableGrid"/>
        <w:tblW w:type="auto" w:w="0"/>
        <w:tblLook w:firstColumn="1" w:firstRow="1" w:lastColumn="0" w:lastRow="0" w:noHBand="0" w:noVBand="1" w:val="04A0"/>
      </w:tblPr>
      <w:tblGrid>
        <w:gridCol w:w="4703"/>
        <w:gridCol w:w="4703"/>
      </w:tblGrid>
      <w:tr>
        <w:tc>
          <w:tcPr>
            <w:tcW w:type="dxa" w:w="4703"/>
            <w:shd w:val="clear" w:color="auto" w:fill="E8F8F7"/>
          </w:tcPr>
          <w:p>
            <w:r>
              <w:rPr>
                <w:rFonts w:ascii="Calibri" w:hAnsi="Calibri"/>
                <w:b/>
                <w:i w:val="0"/>
                <w:color w:val="0AADA2"/>
                <w:sz w:val="18"/>
              </w:rPr>
              <w:t>Theme</w:t>
            </w:r>
          </w:p>
        </w:tc>
        <w:tc>
          <w:tcPr>
            <w:tcW w:type="dxa" w:w="4703"/>
          </w:tcPr>
          <w:p>
            <w:r>
              <w:rPr>
                <w:rFonts w:ascii="Calibri" w:hAnsi="Calibri"/>
                <w:b w:val="0"/>
                <w:i w:val="0"/>
                <w:color w:val="1A1A2E"/>
                <w:sz w:val="18"/>
              </w:rPr>
              <w:t>LifeCoins — Making Quality Healthcare Affordable</w:t>
            </w:r>
          </w:p>
        </w:tc>
      </w:tr>
      <w:tr>
        <w:tc>
          <w:tcPr>
            <w:tcW w:type="dxa" w:w="4703"/>
            <w:shd w:val="clear" w:color="auto" w:fill="E8F8F7"/>
          </w:tcPr>
          <w:p>
            <w:r>
              <w:rPr>
                <w:rFonts w:ascii="Calibri" w:hAnsi="Calibri"/>
                <w:b/>
                <w:i w:val="0"/>
                <w:color w:val="0AADA2"/>
                <w:sz w:val="18"/>
              </w:rPr>
              <w:t>Domain</w:t>
            </w:r>
          </w:p>
        </w:tc>
        <w:tc>
          <w:tcPr>
            <w:tcW w:type="dxa" w:w="4703"/>
          </w:tcPr>
          <w:p>
            <w:r>
              <w:rPr>
                <w:rFonts w:ascii="Calibri" w:hAnsi="Calibri"/>
                <w:b w:val="0"/>
                <w:i w:val="0"/>
                <w:color w:val="1A1A2E"/>
                <w:sz w:val="18"/>
              </w:rPr>
              <w:t>Payments / LifeCoins / Paystack</w:t>
            </w:r>
          </w:p>
        </w:tc>
      </w:tr>
      <w:tr>
        <w:tc>
          <w:tcPr>
            <w:tcW w:type="dxa" w:w="4703"/>
            <w:shd w:val="clear" w:color="auto" w:fill="E8F8F7"/>
          </w:tcPr>
          <w:p>
            <w:r>
              <w:rPr>
                <w:rFonts w:ascii="Calibri" w:hAnsi="Calibri"/>
                <w:b/>
                <w:i w:val="0"/>
                <w:color w:val="0AADA2"/>
                <w:sz w:val="18"/>
              </w:rPr>
              <w:t>Tone</w:t>
            </w:r>
          </w:p>
        </w:tc>
        <w:tc>
          <w:tcPr>
            <w:tcW w:type="dxa" w:w="4703"/>
          </w:tcPr>
          <w:p>
            <w:r>
              <w:rPr>
                <w:rFonts w:ascii="Calibri" w:hAnsi="Calibri"/>
                <w:b w:val="0"/>
                <w:i w:val="0"/>
                <w:color w:val="1A1A2E"/>
                <w:sz w:val="18"/>
              </w:rPr>
              <w:t>Inclusive · Bold</w:t>
            </w:r>
          </w:p>
        </w:tc>
      </w:tr>
      <w:tr>
        <w:tc>
          <w:tcPr>
            <w:tcW w:type="dxa" w:w="4703"/>
            <w:shd w:val="clear" w:color="auto" w:fill="E8F8F7"/>
          </w:tcPr>
          <w:p>
            <w:r>
              <w:rPr>
                <w:rFonts w:ascii="Calibri" w:hAnsi="Calibri"/>
                <w:b/>
                <w:i w:val="0"/>
                <w:color w:val="0AADA2"/>
                <w:sz w:val="18"/>
              </w:rPr>
              <w:t>Hashtags</w:t>
            </w:r>
          </w:p>
        </w:tc>
        <w:tc>
          <w:tcPr>
            <w:tcW w:type="dxa" w:w="4703"/>
          </w:tcPr>
          <w:p>
            <w:r>
              <w:rPr>
                <w:rFonts w:ascii="Calibri" w:hAnsi="Calibri"/>
                <w:b w:val="0"/>
                <w:i w:val="0"/>
                <w:color w:val="1A1A2E"/>
                <w:sz w:val="18"/>
              </w:rPr>
              <w:t>#HealthcareAffordability #LifeCoins #FinTech #LifeGate #AccessibleHealth</w:t>
            </w:r>
          </w:p>
        </w:tc>
      </w:tr>
      <w:tr>
        <w:tc>
          <w:tcPr>
            <w:tcW w:type="dxa" w:w="4703"/>
            <w:shd w:val="clear" w:color="auto" w:fill="E8F8F7"/>
          </w:tcPr>
          <w:p>
            <w:r>
              <w:rPr>
                <w:rFonts w:ascii="Calibri" w:hAnsi="Calibri"/>
                <w:b/>
                <w:i w:val="0"/>
                <w:color w:val="0AADA2"/>
                <w:sz w:val="18"/>
              </w:rPr>
              <w:t>CTA</w:t>
            </w:r>
          </w:p>
        </w:tc>
        <w:tc>
          <w:tcPr>
            <w:tcW w:type="dxa" w:w="4703"/>
          </w:tcPr>
          <w:p>
            <w:r>
              <w:rPr>
                <w:rFonts w:ascii="Calibri" w:hAnsi="Calibri"/>
                <w:b w:val="0"/>
                <w:i w:val="0"/>
                <w:color w:val="1A1A2E"/>
                <w:sz w:val="18"/>
              </w:rPr>
              <w:t>Healthcare shouldn't be a luxury. Share this if you agree.</w:t>
            </w:r>
          </w:p>
        </w:tc>
      </w:tr>
    </w:tbl>
    <w:p/>
    <w:p>
      <w:r>
        <w:rPr>
          <w:rFonts w:ascii="Calibri" w:hAnsi="Calibri"/>
          <w:b/>
          <w:i w:val="0"/>
          <w:color w:val="0AADA2"/>
          <w:sz w:val="22"/>
        </w:rPr>
        <w:t>✍  Writing Prompt</w:t>
      </w:r>
    </w:p>
    <w:tbl>
      <w:tblPr>
        <w:tblStyle w:val="TableGrid"/>
        <w:tblW w:type="auto" w:w="0"/>
        <w:tblLook w:firstColumn="1" w:firstRow="1" w:lastColumn="0" w:lastRow="0" w:noHBand="0" w:noVBand="1" w:val="04A0"/>
      </w:tblPr>
      <w:tblGrid>
        <w:gridCol w:w="9406"/>
      </w:tblGrid>
      <w:tr>
        <w:tc>
          <w:tcPr>
            <w:tcW w:type="dxa" w:w="9406"/>
            <w:shd w:val="clear" w:color="auto" w:fill="FFFDF0"/>
          </w:tcPr>
          <w:p>
            <w:pPr>
              <w:spacing w:before="80" w:after="80"/>
            </w:pPr>
            <w:r>
              <w:rPr>
                <w:rFonts w:ascii="Calibri" w:hAnsi="Calibri"/>
                <w:b w:val="0"/>
                <w:i/>
                <w:color w:val="1A1A2E"/>
                <w:sz w:val="20"/>
              </w:rPr>
              <w:t>Write a LinkedIn post from the CEO of LifeGate introducing the LifeCoins credit system — the platform's approach to making quality healthcare affordable and flexible. Explain that patients can pay per consultation using LifeCoins or subscribe to a tier for unlimited access. Mention Paystack integration for seamless NGN/USD payments. Draw a powerful contrast: the cost of one hospital visit in Nigeria vs the cost of a LifeGate subscription that covers unlimited AI triage + physician validations. Frame affordability as a justice issue, not just a product feature. Tone: bold, inclusive, mission-driven. Length: 180–220 words.</w:t>
            </w:r>
          </w:p>
        </w:tc>
      </w:tr>
    </w:tbl>
    <w:p/>
    <w:p>
      <w:pPr>
        <w:spacing w:before="40" w:after="40"/>
        <w:pBdr>
          <w:bottom w:val="single" w:sz="6" w:space="1" w:color="0AADA2"/>
        </w:pBdr>
      </w:pPr>
    </w:p>
    <w:p/>
    <w:tbl>
      <w:tblPr>
        <w:tblStyle w:val="TableGrid"/>
        <w:tblW w:type="auto" w:w="0"/>
        <w:tblLook w:firstColumn="1" w:firstRow="1" w:lastColumn="0" w:lastRow="0" w:noHBand="0" w:noVBand="1" w:val="04A0"/>
      </w:tblPr>
      <w:tblGrid>
        <w:gridCol w:w="9406"/>
      </w:tblGrid>
      <w:tr>
        <w:tc>
          <w:tcPr>
            <w:tcW w:type="dxa" w:w="9406"/>
            <w:shd w:val="clear" w:color="auto" w:fill="0AADA2"/>
          </w:tcPr>
          <w:p>
            <w:r>
              <w:rPr>
                <w:rFonts w:ascii="Calibri" w:hAnsi="Calibri"/>
                <w:b/>
                <w:i w:val="0"/>
                <w:color w:val="FFFFFF"/>
                <w:sz w:val="24"/>
              </w:rPr>
              <w:t>POST 08  ·  Wednesday, June 10, 2026</w:t>
            </w:r>
          </w:p>
        </w:tc>
      </w:tr>
    </w:tbl>
    <w:tbl>
      <w:tblPr>
        <w:tblStyle w:val="TableGrid"/>
        <w:tblW w:type="auto" w:w="0"/>
        <w:tblLook w:firstColumn="1" w:firstRow="1" w:lastColumn="0" w:lastRow="0" w:noHBand="0" w:noVBand="1" w:val="04A0"/>
      </w:tblPr>
      <w:tblGrid>
        <w:gridCol w:w="4703"/>
        <w:gridCol w:w="4703"/>
      </w:tblGrid>
      <w:tr>
        <w:tc>
          <w:tcPr>
            <w:tcW w:type="dxa" w:w="4703"/>
            <w:shd w:val="clear" w:color="auto" w:fill="E8F8F7"/>
          </w:tcPr>
          <w:p>
            <w:r>
              <w:rPr>
                <w:rFonts w:ascii="Calibri" w:hAnsi="Calibri"/>
                <w:b/>
                <w:i w:val="0"/>
                <w:color w:val="0AADA2"/>
                <w:sz w:val="18"/>
              </w:rPr>
              <w:t>Theme</w:t>
            </w:r>
          </w:p>
        </w:tc>
        <w:tc>
          <w:tcPr>
            <w:tcW w:type="dxa" w:w="4703"/>
          </w:tcPr>
          <w:p>
            <w:r>
              <w:rPr>
                <w:rFonts w:ascii="Calibri" w:hAnsi="Calibri"/>
                <w:b w:val="0"/>
                <w:i w:val="0"/>
                <w:color w:val="1A1A2E"/>
                <w:sz w:val="18"/>
              </w:rPr>
              <w:t>Real-time Communication — Closing the Gap Between Patient &amp; Physician</w:t>
            </w:r>
          </w:p>
        </w:tc>
      </w:tr>
      <w:tr>
        <w:tc>
          <w:tcPr>
            <w:tcW w:type="dxa" w:w="4703"/>
            <w:shd w:val="clear" w:color="auto" w:fill="E8F8F7"/>
          </w:tcPr>
          <w:p>
            <w:r>
              <w:rPr>
                <w:rFonts w:ascii="Calibri" w:hAnsi="Calibri"/>
                <w:b/>
                <w:i w:val="0"/>
                <w:color w:val="0AADA2"/>
                <w:sz w:val="18"/>
              </w:rPr>
              <w:t>Domain</w:t>
            </w:r>
          </w:p>
        </w:tc>
        <w:tc>
          <w:tcPr>
            <w:tcW w:type="dxa" w:w="4703"/>
          </w:tcPr>
          <w:p>
            <w:r>
              <w:rPr>
                <w:rFonts w:ascii="Calibri" w:hAnsi="Calibri"/>
                <w:b w:val="0"/>
                <w:i w:val="0"/>
                <w:color w:val="1A1A2E"/>
                <w:sz w:val="18"/>
              </w:rPr>
              <w:t>Instant Messaging / Voice &amp; Video Calls (WebRTC)</w:t>
            </w:r>
          </w:p>
        </w:tc>
      </w:tr>
      <w:tr>
        <w:tc>
          <w:tcPr>
            <w:tcW w:type="dxa" w:w="4703"/>
            <w:shd w:val="clear" w:color="auto" w:fill="E8F8F7"/>
          </w:tcPr>
          <w:p>
            <w:r>
              <w:rPr>
                <w:rFonts w:ascii="Calibri" w:hAnsi="Calibri"/>
                <w:b/>
                <w:i w:val="0"/>
                <w:color w:val="0AADA2"/>
                <w:sz w:val="18"/>
              </w:rPr>
              <w:t>Tone</w:t>
            </w:r>
          </w:p>
        </w:tc>
        <w:tc>
          <w:tcPr>
            <w:tcW w:type="dxa" w:w="4703"/>
          </w:tcPr>
          <w:p>
            <w:r>
              <w:rPr>
                <w:rFonts w:ascii="Calibri" w:hAnsi="Calibri"/>
                <w:b w:val="0"/>
                <w:i w:val="0"/>
                <w:color w:val="1A1A2E"/>
                <w:sz w:val="18"/>
              </w:rPr>
              <w:t>Human · Warm</w:t>
            </w:r>
          </w:p>
        </w:tc>
      </w:tr>
      <w:tr>
        <w:tc>
          <w:tcPr>
            <w:tcW w:type="dxa" w:w="4703"/>
            <w:shd w:val="clear" w:color="auto" w:fill="E8F8F7"/>
          </w:tcPr>
          <w:p>
            <w:r>
              <w:rPr>
                <w:rFonts w:ascii="Calibri" w:hAnsi="Calibri"/>
                <w:b/>
                <w:i w:val="0"/>
                <w:color w:val="0AADA2"/>
                <w:sz w:val="18"/>
              </w:rPr>
              <w:t>Hashtags</w:t>
            </w:r>
          </w:p>
        </w:tc>
        <w:tc>
          <w:tcPr>
            <w:tcW w:type="dxa" w:w="4703"/>
          </w:tcPr>
          <w:p>
            <w:r>
              <w:rPr>
                <w:rFonts w:ascii="Calibri" w:hAnsi="Calibri"/>
                <w:b w:val="0"/>
                <w:i w:val="0"/>
                <w:color w:val="1A1A2E"/>
                <w:sz w:val="18"/>
              </w:rPr>
              <w:t>#Telemedicine #PatientPhysicianCommunication #LifeGate #HealthTech #WebRTC</w:t>
            </w:r>
          </w:p>
        </w:tc>
      </w:tr>
      <w:tr>
        <w:tc>
          <w:tcPr>
            <w:tcW w:type="dxa" w:w="4703"/>
            <w:shd w:val="clear" w:color="auto" w:fill="E8F8F7"/>
          </w:tcPr>
          <w:p>
            <w:r>
              <w:rPr>
                <w:rFonts w:ascii="Calibri" w:hAnsi="Calibri"/>
                <w:b/>
                <w:i w:val="0"/>
                <w:color w:val="0AADA2"/>
                <w:sz w:val="18"/>
              </w:rPr>
              <w:t>CTA</w:t>
            </w:r>
          </w:p>
        </w:tc>
        <w:tc>
          <w:tcPr>
            <w:tcW w:type="dxa" w:w="4703"/>
          </w:tcPr>
          <w:p>
            <w:r>
              <w:rPr>
                <w:rFonts w:ascii="Calibri" w:hAnsi="Calibri"/>
                <w:b w:val="0"/>
                <w:i w:val="0"/>
                <w:color w:val="1A1A2E"/>
                <w:sz w:val="18"/>
              </w:rPr>
              <w:t>Tag a doctor or patient advocate who needs to see this.</w:t>
            </w:r>
          </w:p>
        </w:tc>
      </w:tr>
    </w:tbl>
    <w:p/>
    <w:p>
      <w:r>
        <w:rPr>
          <w:rFonts w:ascii="Calibri" w:hAnsi="Calibri"/>
          <w:b/>
          <w:i w:val="0"/>
          <w:color w:val="0AADA2"/>
          <w:sz w:val="22"/>
        </w:rPr>
        <w:t>✍  Writing Prompt</w:t>
      </w:r>
    </w:p>
    <w:tbl>
      <w:tblPr>
        <w:tblStyle w:val="TableGrid"/>
        <w:tblW w:type="auto" w:w="0"/>
        <w:tblLook w:firstColumn="1" w:firstRow="1" w:lastColumn="0" w:lastRow="0" w:noHBand="0" w:noVBand="1" w:val="04A0"/>
      </w:tblPr>
      <w:tblGrid>
        <w:gridCol w:w="9406"/>
      </w:tblGrid>
      <w:tr>
        <w:tc>
          <w:tcPr>
            <w:tcW w:type="dxa" w:w="9406"/>
            <w:shd w:val="clear" w:color="auto" w:fill="FFFDF0"/>
          </w:tcPr>
          <w:p>
            <w:pPr>
              <w:spacing w:before="80" w:after="80"/>
            </w:pPr>
            <w:r>
              <w:rPr>
                <w:rFonts w:ascii="Calibri" w:hAnsi="Calibri"/>
                <w:b w:val="0"/>
                <w:i/>
                <w:color w:val="1A1A2E"/>
                <w:sz w:val="20"/>
              </w:rPr>
              <w:t>Write a LinkedIn post from the CEO of LifeGate about the platform's real-time communication layer — instant messaging, voice calls, and video consultations between patients and physicians, all within the app. Paint a vivid before/after picture: before LifeGate, a patient waiting weeks for a follow-up appointment; after LifeGate, a physician pinging a patient directly through the app to clarify a result or check in after a prescription. Emphasise that this isn't telehealth as a gimmick — it's a clinical necessity for follow-up, relationship continuity, and reducing patient anxiety. Mention WebRTC-powered calls as secure and low-latency. Tone: human, warm, relational. Length: 190–230 words.</w:t>
            </w:r>
          </w:p>
        </w:tc>
      </w:tr>
    </w:tbl>
    <w:p/>
    <w:p>
      <w:pPr>
        <w:spacing w:before="40" w:after="40"/>
        <w:pBdr>
          <w:bottom w:val="single" w:sz="6" w:space="1" w:color="0AADA2"/>
        </w:pBdr>
      </w:pPr>
    </w:p>
    <w:p/>
    <w:tbl>
      <w:tblPr>
        <w:tblStyle w:val="TableGrid"/>
        <w:tblW w:type="auto" w:w="0"/>
        <w:tblLook w:firstColumn="1" w:firstRow="1" w:lastColumn="0" w:lastRow="0" w:noHBand="0" w:noVBand="1" w:val="04A0"/>
      </w:tblPr>
      <w:tblGrid>
        <w:gridCol w:w="9406"/>
      </w:tblGrid>
      <w:tr>
        <w:tc>
          <w:tcPr>
            <w:tcW w:type="dxa" w:w="9406"/>
            <w:shd w:val="clear" w:color="auto" w:fill="0AADA2"/>
          </w:tcPr>
          <w:p>
            <w:r>
              <w:rPr>
                <w:rFonts w:ascii="Calibri" w:hAnsi="Calibri"/>
                <w:b/>
                <w:i w:val="0"/>
                <w:color w:val="FFFFFF"/>
                <w:sz w:val="24"/>
              </w:rPr>
              <w:t>POST 09  ·  Thursday, June 11, 2026</w:t>
            </w:r>
          </w:p>
        </w:tc>
      </w:tr>
    </w:tbl>
    <w:tbl>
      <w:tblPr>
        <w:tblStyle w:val="TableGrid"/>
        <w:tblW w:type="auto" w:w="0"/>
        <w:tblLook w:firstColumn="1" w:firstRow="1" w:lastColumn="0" w:lastRow="0" w:noHBand="0" w:noVBand="1" w:val="04A0"/>
      </w:tblPr>
      <w:tblGrid>
        <w:gridCol w:w="4703"/>
        <w:gridCol w:w="4703"/>
      </w:tblGrid>
      <w:tr>
        <w:tc>
          <w:tcPr>
            <w:tcW w:type="dxa" w:w="4703"/>
            <w:shd w:val="clear" w:color="auto" w:fill="E8F8F7"/>
          </w:tcPr>
          <w:p>
            <w:r>
              <w:rPr>
                <w:rFonts w:ascii="Calibri" w:hAnsi="Calibri"/>
                <w:b/>
                <w:i w:val="0"/>
                <w:color w:val="0AADA2"/>
                <w:sz w:val="18"/>
              </w:rPr>
              <w:t>Theme</w:t>
            </w:r>
          </w:p>
        </w:tc>
        <w:tc>
          <w:tcPr>
            <w:tcW w:type="dxa" w:w="4703"/>
          </w:tcPr>
          <w:p>
            <w:r>
              <w:rPr>
                <w:rFonts w:ascii="Calibri" w:hAnsi="Calibri"/>
                <w:b w:val="0"/>
                <w:i w:val="0"/>
                <w:color w:val="1A1A2E"/>
                <w:sz w:val="18"/>
              </w:rPr>
              <w:t>Public Health Surveillance — Data That Saves Communities</w:t>
            </w:r>
          </w:p>
        </w:tc>
      </w:tr>
      <w:tr>
        <w:tc>
          <w:tcPr>
            <w:tcW w:type="dxa" w:w="4703"/>
            <w:shd w:val="clear" w:color="auto" w:fill="E8F8F7"/>
          </w:tcPr>
          <w:p>
            <w:r>
              <w:rPr>
                <w:rFonts w:ascii="Calibri" w:hAnsi="Calibri"/>
                <w:b/>
                <w:i w:val="0"/>
                <w:color w:val="0AADA2"/>
                <w:sz w:val="18"/>
              </w:rPr>
              <w:t>Domain</w:t>
            </w:r>
          </w:p>
        </w:tc>
        <w:tc>
          <w:tcPr>
            <w:tcW w:type="dxa" w:w="4703"/>
          </w:tcPr>
          <w:p>
            <w:r>
              <w:rPr>
                <w:rFonts w:ascii="Calibri" w:hAnsi="Calibri"/>
                <w:b w:val="0"/>
                <w:i w:val="0"/>
                <w:color w:val="1A1A2E"/>
                <w:sz w:val="18"/>
              </w:rPr>
              <w:t>Surveillance / Public Health Analytics / Research</w:t>
            </w:r>
          </w:p>
        </w:tc>
      </w:tr>
      <w:tr>
        <w:tc>
          <w:tcPr>
            <w:tcW w:type="dxa" w:w="4703"/>
            <w:shd w:val="clear" w:color="auto" w:fill="E8F8F7"/>
          </w:tcPr>
          <w:p>
            <w:r>
              <w:rPr>
                <w:rFonts w:ascii="Calibri" w:hAnsi="Calibri"/>
                <w:b/>
                <w:i w:val="0"/>
                <w:color w:val="0AADA2"/>
                <w:sz w:val="18"/>
              </w:rPr>
              <w:t>Tone</w:t>
            </w:r>
          </w:p>
        </w:tc>
        <w:tc>
          <w:tcPr>
            <w:tcW w:type="dxa" w:w="4703"/>
          </w:tcPr>
          <w:p>
            <w:r>
              <w:rPr>
                <w:rFonts w:ascii="Calibri" w:hAnsi="Calibri"/>
                <w:b w:val="0"/>
                <w:i w:val="0"/>
                <w:color w:val="1A1A2E"/>
                <w:sz w:val="18"/>
              </w:rPr>
              <w:t>Authoritative · Purposeful</w:t>
            </w:r>
          </w:p>
        </w:tc>
      </w:tr>
      <w:tr>
        <w:tc>
          <w:tcPr>
            <w:tcW w:type="dxa" w:w="4703"/>
            <w:shd w:val="clear" w:color="auto" w:fill="E8F8F7"/>
          </w:tcPr>
          <w:p>
            <w:r>
              <w:rPr>
                <w:rFonts w:ascii="Calibri" w:hAnsi="Calibri"/>
                <w:b/>
                <w:i w:val="0"/>
                <w:color w:val="0AADA2"/>
                <w:sz w:val="18"/>
              </w:rPr>
              <w:t>Hashtags</w:t>
            </w:r>
          </w:p>
        </w:tc>
        <w:tc>
          <w:tcPr>
            <w:tcW w:type="dxa" w:w="4703"/>
          </w:tcPr>
          <w:p>
            <w:r>
              <w:rPr>
                <w:rFonts w:ascii="Calibri" w:hAnsi="Calibri"/>
                <w:b w:val="0"/>
                <w:i w:val="0"/>
                <w:color w:val="1A1A2E"/>
                <w:sz w:val="18"/>
              </w:rPr>
              <w:t>#PublicHealth #HealthSurveillance #DataForGood #LifeGate #Nigeria</w:t>
            </w:r>
          </w:p>
        </w:tc>
      </w:tr>
      <w:tr>
        <w:tc>
          <w:tcPr>
            <w:tcW w:type="dxa" w:w="4703"/>
            <w:shd w:val="clear" w:color="auto" w:fill="E8F8F7"/>
          </w:tcPr>
          <w:p>
            <w:r>
              <w:rPr>
                <w:rFonts w:ascii="Calibri" w:hAnsi="Calibri"/>
                <w:b/>
                <w:i w:val="0"/>
                <w:color w:val="0AADA2"/>
                <w:sz w:val="18"/>
              </w:rPr>
              <w:t>CTA</w:t>
            </w:r>
          </w:p>
        </w:tc>
        <w:tc>
          <w:tcPr>
            <w:tcW w:type="dxa" w:w="4703"/>
          </w:tcPr>
          <w:p>
            <w:r>
              <w:rPr>
                <w:rFonts w:ascii="Calibri" w:hAnsi="Calibri"/>
                <w:b w:val="0"/>
                <w:i w:val="0"/>
                <w:color w:val="1A1A2E"/>
                <w:sz w:val="18"/>
              </w:rPr>
              <w:t>Are you a researcher or public health official? Request API access at dshub.com.ng.</w:t>
            </w:r>
          </w:p>
        </w:tc>
      </w:tr>
    </w:tbl>
    <w:p/>
    <w:p>
      <w:r>
        <w:rPr>
          <w:rFonts w:ascii="Calibri" w:hAnsi="Calibri"/>
          <w:b/>
          <w:i w:val="0"/>
          <w:color w:val="0AADA2"/>
          <w:sz w:val="22"/>
        </w:rPr>
        <w:t>✍  Writing Prompt</w:t>
      </w:r>
    </w:p>
    <w:tbl>
      <w:tblPr>
        <w:tblStyle w:val="TableGrid"/>
        <w:tblW w:type="auto" w:w="0"/>
        <w:tblLook w:firstColumn="1" w:firstRow="1" w:lastColumn="0" w:lastRow="0" w:noHBand="0" w:noVBand="1" w:val="04A0"/>
      </w:tblPr>
      <w:tblGrid>
        <w:gridCol w:w="9406"/>
      </w:tblGrid>
      <w:tr>
        <w:tc>
          <w:tcPr>
            <w:tcW w:type="dxa" w:w="9406"/>
            <w:shd w:val="clear" w:color="auto" w:fill="FFFDF0"/>
          </w:tcPr>
          <w:p>
            <w:pPr>
              <w:spacing w:before="80" w:after="80"/>
            </w:pPr>
            <w:r>
              <w:rPr>
                <w:rFonts w:ascii="Calibri" w:hAnsi="Calibri"/>
                <w:b w:val="0"/>
                <w:i/>
                <w:color w:val="1A1A2E"/>
                <w:sz w:val="20"/>
              </w:rPr>
              <w:t>Write a LinkedIn post from the CEO of LifeGate on the platform's public health surveillance capability. Explain that LifeGate anonymises and aggregates clinical data from across Nigeria into a real-time epidemiological feed — covering all 36 states. This data is available through a public API for government agencies, NGOs, hospitals, and researchers. Highlight a specific use case: how early surveillance data can detect outbreak patterns weeks before traditional reporting systems catch them. Emphasise NDPA compliance — individual identity is never exposed. Position LifeGate as infrastructure for Nigeria's public health system, not just a consumer app. Tone: authoritative, purposeful, nationally minded. Length: 180–220 words.</w:t>
            </w:r>
          </w:p>
        </w:tc>
      </w:tr>
    </w:tbl>
    <w:p/>
    <w:p>
      <w:pPr>
        <w:spacing w:before="40" w:after="40"/>
        <w:pBdr>
          <w:bottom w:val="single" w:sz="6" w:space="1" w:color="0AADA2"/>
        </w:pBdr>
      </w:pPr>
    </w:p>
    <w:p/>
    <w:tbl>
      <w:tblPr>
        <w:tblStyle w:val="TableGrid"/>
        <w:tblW w:type="auto" w:w="0"/>
        <w:tblLook w:firstColumn="1" w:firstRow="1" w:lastColumn="0" w:lastRow="0" w:noHBand="0" w:noVBand="1" w:val="04A0"/>
      </w:tblPr>
      <w:tblGrid>
        <w:gridCol w:w="9406"/>
      </w:tblGrid>
      <w:tr>
        <w:tc>
          <w:tcPr>
            <w:tcW w:type="dxa" w:w="9406"/>
            <w:shd w:val="clear" w:color="auto" w:fill="0AADA2"/>
          </w:tcPr>
          <w:p>
            <w:r>
              <w:rPr>
                <w:rFonts w:ascii="Calibri" w:hAnsi="Calibri"/>
                <w:b/>
                <w:i w:val="0"/>
                <w:color w:val="FFFFFF"/>
                <w:sz w:val="24"/>
              </w:rPr>
              <w:t>POST 10  ·  Friday, June 12, 2026</w:t>
            </w:r>
          </w:p>
        </w:tc>
      </w:tr>
    </w:tbl>
    <w:tbl>
      <w:tblPr>
        <w:tblStyle w:val="TableGrid"/>
        <w:tblW w:type="auto" w:w="0"/>
        <w:tblLook w:firstColumn="1" w:firstRow="1" w:lastColumn="0" w:lastRow="0" w:noHBand="0" w:noVBand="1" w:val="04A0"/>
      </w:tblPr>
      <w:tblGrid>
        <w:gridCol w:w="4703"/>
        <w:gridCol w:w="4703"/>
      </w:tblGrid>
      <w:tr>
        <w:tc>
          <w:tcPr>
            <w:tcW w:type="dxa" w:w="4703"/>
            <w:shd w:val="clear" w:color="auto" w:fill="E8F8F7"/>
          </w:tcPr>
          <w:p>
            <w:r>
              <w:rPr>
                <w:rFonts w:ascii="Calibri" w:hAnsi="Calibri"/>
                <w:b/>
                <w:i w:val="0"/>
                <w:color w:val="0AADA2"/>
                <w:sz w:val="18"/>
              </w:rPr>
              <w:t>Theme</w:t>
            </w:r>
          </w:p>
        </w:tc>
        <w:tc>
          <w:tcPr>
            <w:tcW w:type="dxa" w:w="4703"/>
          </w:tcPr>
          <w:p>
            <w:r>
              <w:rPr>
                <w:rFonts w:ascii="Calibri" w:hAnsi="Calibri"/>
                <w:b w:val="0"/>
                <w:i w:val="0"/>
                <w:color w:val="1A1A2E"/>
                <w:sz w:val="18"/>
              </w:rPr>
              <w:t>Ambassador Campaign — Become a LifeGate Health Champion</w:t>
            </w:r>
          </w:p>
        </w:tc>
      </w:tr>
      <w:tr>
        <w:tc>
          <w:tcPr>
            <w:tcW w:type="dxa" w:w="4703"/>
            <w:shd w:val="clear" w:color="auto" w:fill="E8F8F7"/>
          </w:tcPr>
          <w:p>
            <w:r>
              <w:rPr>
                <w:rFonts w:ascii="Calibri" w:hAnsi="Calibri"/>
                <w:b/>
                <w:i w:val="0"/>
                <w:color w:val="0AADA2"/>
                <w:sz w:val="18"/>
              </w:rPr>
              <w:t>Domain</w:t>
            </w:r>
          </w:p>
        </w:tc>
        <w:tc>
          <w:tcPr>
            <w:tcW w:type="dxa" w:w="4703"/>
          </w:tcPr>
          <w:p>
            <w:r>
              <w:rPr>
                <w:rFonts w:ascii="Calibri" w:hAnsi="Calibri"/>
                <w:b w:val="0"/>
                <w:i w:val="0"/>
                <w:color w:val="1A1A2E"/>
                <w:sz w:val="18"/>
              </w:rPr>
              <w:t>Ambassador Campaign / Community Advocacy</w:t>
            </w:r>
          </w:p>
        </w:tc>
      </w:tr>
      <w:tr>
        <w:tc>
          <w:tcPr>
            <w:tcW w:type="dxa" w:w="4703"/>
            <w:shd w:val="clear" w:color="auto" w:fill="E8F8F7"/>
          </w:tcPr>
          <w:p>
            <w:r>
              <w:rPr>
                <w:rFonts w:ascii="Calibri" w:hAnsi="Calibri"/>
                <w:b/>
                <w:i w:val="0"/>
                <w:color w:val="0AADA2"/>
                <w:sz w:val="18"/>
              </w:rPr>
              <w:t>Tone</w:t>
            </w:r>
          </w:p>
        </w:tc>
        <w:tc>
          <w:tcPr>
            <w:tcW w:type="dxa" w:w="4703"/>
          </w:tcPr>
          <w:p>
            <w:r>
              <w:rPr>
                <w:rFonts w:ascii="Calibri" w:hAnsi="Calibri"/>
                <w:b w:val="0"/>
                <w:i w:val="0"/>
                <w:color w:val="1A1A2E"/>
                <w:sz w:val="18"/>
              </w:rPr>
              <w:t>Energetic · Community-driven</w:t>
            </w:r>
          </w:p>
        </w:tc>
      </w:tr>
      <w:tr>
        <w:tc>
          <w:tcPr>
            <w:tcW w:type="dxa" w:w="4703"/>
            <w:shd w:val="clear" w:color="auto" w:fill="E8F8F7"/>
          </w:tcPr>
          <w:p>
            <w:r>
              <w:rPr>
                <w:rFonts w:ascii="Calibri" w:hAnsi="Calibri"/>
                <w:b/>
                <w:i w:val="0"/>
                <w:color w:val="0AADA2"/>
                <w:sz w:val="18"/>
              </w:rPr>
              <w:t>Hashtags</w:t>
            </w:r>
          </w:p>
        </w:tc>
        <w:tc>
          <w:tcPr>
            <w:tcW w:type="dxa" w:w="4703"/>
          </w:tcPr>
          <w:p>
            <w:r>
              <w:rPr>
                <w:rFonts w:ascii="Calibri" w:hAnsi="Calibri"/>
                <w:b w:val="0"/>
                <w:i w:val="0"/>
                <w:color w:val="1A1A2E"/>
                <w:sz w:val="18"/>
              </w:rPr>
              <w:t>#LifeGateAmbassador #HealthChampion #CommunityHealth #LifeGate #Nigeria</w:t>
            </w:r>
          </w:p>
        </w:tc>
      </w:tr>
      <w:tr>
        <w:tc>
          <w:tcPr>
            <w:tcW w:type="dxa" w:w="4703"/>
            <w:shd w:val="clear" w:color="auto" w:fill="E8F8F7"/>
          </w:tcPr>
          <w:p>
            <w:r>
              <w:rPr>
                <w:rFonts w:ascii="Calibri" w:hAnsi="Calibri"/>
                <w:b/>
                <w:i w:val="0"/>
                <w:color w:val="0AADA2"/>
                <w:sz w:val="18"/>
              </w:rPr>
              <w:t>CTA</w:t>
            </w:r>
          </w:p>
        </w:tc>
        <w:tc>
          <w:tcPr>
            <w:tcW w:type="dxa" w:w="4703"/>
          </w:tcPr>
          <w:p>
            <w:r>
              <w:rPr>
                <w:rFonts w:ascii="Calibri" w:hAnsi="Calibri"/>
                <w:b w:val="0"/>
                <w:i w:val="0"/>
                <w:color w:val="1A1A2E"/>
                <w:sz w:val="18"/>
              </w:rPr>
              <w:t>DM 'AMBASSADOR' to learn how to join the LifeGate Health Champions network.</w:t>
            </w:r>
          </w:p>
        </w:tc>
      </w:tr>
    </w:tbl>
    <w:p/>
    <w:p>
      <w:r>
        <w:rPr>
          <w:rFonts w:ascii="Calibri" w:hAnsi="Calibri"/>
          <w:b/>
          <w:i w:val="0"/>
          <w:color w:val="0AADA2"/>
          <w:sz w:val="22"/>
        </w:rPr>
        <w:t>✍  Writing Prompt</w:t>
      </w:r>
    </w:p>
    <w:tbl>
      <w:tblPr>
        <w:tblStyle w:val="TableGrid"/>
        <w:tblW w:type="auto" w:w="0"/>
        <w:tblLook w:firstColumn="1" w:firstRow="1" w:lastColumn="0" w:lastRow="0" w:noHBand="0" w:noVBand="1" w:val="04A0"/>
      </w:tblPr>
      <w:tblGrid>
        <w:gridCol w:w="9406"/>
      </w:tblGrid>
      <w:tr>
        <w:tc>
          <w:tcPr>
            <w:tcW w:type="dxa" w:w="9406"/>
            <w:shd w:val="clear" w:color="auto" w:fill="FFFDF0"/>
          </w:tcPr>
          <w:p>
            <w:pPr>
              <w:spacing w:before="80" w:after="80"/>
            </w:pPr>
            <w:r>
              <w:rPr>
                <w:rFonts w:ascii="Calibri" w:hAnsi="Calibri"/>
                <w:b w:val="0"/>
                <w:i/>
                <w:color w:val="1A1A2E"/>
                <w:sz w:val="20"/>
              </w:rPr>
              <w:t>Write a LinkedIn post from the CEO of LifeGate launching the LifeGate Health Champions Ambassador Programme. The programme invites healthcare professionals, community leaders, social media influencers, and patient advocates to represent LifeGate in their communities. Describe what ambassadors do: educate their communities about AI-powered health access, share LifeGate's mission, refer users through personalised referral codes, and host community health awareness sessions. Highlight what ambassadors receive: a personalised referral dashboard, recognition on the LifeGate platform, access to exclusive content, and the satisfaction of driving real health impact. Use energetic, rally-cry language. Tone: energetic, inclusive, community-powered. Length: 190–230 words.</w:t>
            </w:r>
          </w:p>
        </w:tc>
      </w:tr>
    </w:tbl>
    <w:p/>
    <w:p>
      <w:r>
        <w:br w:type="page"/>
      </w:r>
    </w:p>
    <w:p>
      <w:pPr>
        <w:jc w:val="center"/>
      </w:pPr>
      <w:r>
        <w:rPr>
          <w:rFonts w:ascii="Calibri" w:hAnsi="Calibri"/>
          <w:b w:val="0"/>
          <w:i w:val="0"/>
          <w:color w:val="64748B"/>
          <w:sz w:val="18"/>
        </w:rPr>
        <w:t>LifeGate  ·  CEO LinkedIn Content Calendar  ·  Week 2 of 6</w:t>
        <w:br/>
        <w:t>Generated: May 2026  ·  Confidential — Internal Use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