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jc w:val="center"/>
      </w:pPr>
      <w:r>
        <w:rPr>
          <w:rFonts w:ascii="Calibri" w:cs="Calibri" w:eastAsia="Calibri" w:hAnsi="Calibri"/>
          <w:b/>
          <w:bCs/>
          <w:color w:val="005F63"/>
          <w:spacing w:val="40"/>
          <w:sz w:val="30"/>
          <w:szCs w:val="30"/>
        </w:rPr>
        <w:t xml:space="preserve">PIAOCONNECT</w:t>
      </w:r>
    </w:p>
    <w:p>
      <w:pPr>
        <w:spacing w:after="80" w:before="200"/>
        <w:jc w:val="center"/>
      </w:pPr>
      <w:r>
        <w:rPr>
          <w:rFonts w:ascii="Calibri" w:cs="Calibri" w:eastAsia="Calibri" w:hAnsi="Calibri"/>
          <w:b/>
          <w:bCs/>
          <w:color w:val="003F42"/>
          <w:sz w:val="52"/>
          <w:szCs w:val="52"/>
        </w:rPr>
        <w:t xml:space="preserve">System Guide &amp; Recent Feature Updates</w:t>
      </w:r>
    </w:p>
    <w:p>
      <w:pPr>
        <w:spacing w:after="500" w:before="100"/>
        <w:jc w:val="center"/>
      </w:pPr>
      <w:r>
        <w:rPr>
          <w:rFonts w:ascii="Calibri" w:cs="Calibri" w:eastAsia="Calibri" w:hAnsi="Calibri"/>
          <w:i/>
          <w:iCs/>
          <w:color w:val="666666"/>
          <w:sz w:val="22"/>
          <w:szCs w:val="22"/>
        </w:rPr>
        <w:t xml:space="preserve">A plain-language reference for the project adviser and group members</w:t>
      </w:r>
    </w:p>
    <w:p>
      <w:pPr>
        <w:spacing w:after="40"/>
        <w:jc w:val="center"/>
      </w:pPr>
      <w:r>
        <w:rPr>
          <w:rFonts w:ascii="Calibri" w:cs="Calibri" w:eastAsia="Calibri" w:hAnsi="Calibri"/>
          <w:color w:val="333333"/>
          <w:sz w:val="20"/>
          <w:szCs w:val="20"/>
        </w:rPr>
        <w:t xml:space="preserve">Covers: the sample database, event sign-in/sign-out timing, save confirmations,</w:t>
      </w:r>
    </w:p>
    <w:p>
      <w:pPr>
        <w:spacing w:after="40"/>
        <w:jc w:val="center"/>
      </w:pPr>
      <w:r>
        <w:rPr>
          <w:rFonts w:ascii="Calibri" w:cs="Calibri" w:eastAsia="Calibri" w:hAnsi="Calibri"/>
          <w:color w:val="333333"/>
          <w:sz w:val="20"/>
          <w:szCs w:val="20"/>
        </w:rPr>
        <w:t xml:space="preserve">success messages, and the Archive page's recent fixes</w:t>
      </w:r>
    </w:p>
    <w:p>
      <w:pPr>
        <w:spacing w:before="900"/>
        <w:jc w:val="center"/>
      </w:pPr>
      <w:r>
        <w:rPr>
          <w:rFonts w:ascii="Calibri" w:cs="Calibri" w:eastAsia="Calibri" w:hAnsi="Calibri"/>
          <w:color w:val="888888"/>
          <w:sz w:val="20"/>
          <w:szCs w:val="20"/>
        </w:rPr>
        <w:t xml:space="preserve">Barangay Event &amp; Household Management System</w:t>
      </w:r>
    </w:p>
    <w:p>
      <w:pPr>
        <w:spacing w:before="40"/>
        <w:jc w:val="center"/>
      </w:pPr>
      <w:r>
        <w:rPr>
          <w:rFonts w:ascii="Calibri" w:cs="Calibri" w:eastAsia="Calibri" w:hAnsi="Calibri"/>
          <w:color w:val="888888"/>
          <w:sz w:val="20"/>
          <w:szCs w:val="20"/>
        </w:rPr>
        <w:t xml:space="preserve">Prepared September 2026</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Why This Document Exists</w:t>
      </w:r>
    </w:p>
    <w:p>
      <w:pPr>
        <w:spacing w:after="160" w:line="276"/>
      </w:pPr>
      <w:r>
        <w:rPr>
          <w:rFonts w:ascii="Calibri" w:cs="Calibri" w:eastAsia="Calibri" w:hAnsi="Calibri"/>
          <w:color w:val="333333"/>
          <w:sz w:val="21"/>
          <w:szCs w:val="21"/>
        </w:rPr>
        <w:t xml:space="preserve">This system doesn't get handed to an adviser or a groupmate as an empty shell -- it comes pre-loaded with realistic, believable barangay data, and it has picked up several small but important behavior changes recently. This guide explains all of it in plain language, without needing to read a single line of code:</w:t>
      </w:r>
    </w:p>
    <w:p>
      <w:pPr>
        <w:pStyle w:val="ListParagraph"/>
        <w:numPr>
          <w:ilvl w:val="0"/>
          <w:numId w:val="2"/>
        </w:numPr>
        <w:spacing w:after="100" w:line="268"/>
      </w:pPr>
      <w:r>
        <w:rPr>
          <w:rFonts w:ascii="Calibri" w:cs="Calibri" w:eastAsia="Calibri" w:hAnsi="Calibri"/>
          <w:color w:val="333333"/>
          <w:sz w:val="21"/>
          <w:szCs w:val="21"/>
        </w:rPr>
        <w:t xml:space="preserve">Part 1 -- how the sample data was built, what it contains, and how every module (Residents, Households, Events, Budget, Inventory, Feedback, and more) actually connects to the others through it.</w:t>
      </w:r>
    </w:p>
    <w:p>
      <w:pPr>
        <w:pStyle w:val="ListParagraph"/>
        <w:numPr>
          <w:ilvl w:val="0"/>
          <w:numId w:val="2"/>
        </w:numPr>
        <w:spacing w:after="100" w:line="268"/>
      </w:pPr>
      <w:r>
        <w:rPr>
          <w:rFonts w:ascii="Calibri" w:cs="Calibri" w:eastAsia="Calibri" w:hAnsi="Calibri"/>
          <w:color w:val="333333"/>
          <w:sz w:val="21"/>
          <w:szCs w:val="21"/>
        </w:rPr>
        <w:t xml:space="preserve">Part 2 -- how an event's sign-in and sign-out windows are decided from its schedule, and how the system automatically alerts staff the moment a window opens or closes.</w:t>
      </w:r>
    </w:p>
    <w:p>
      <w:pPr>
        <w:pStyle w:val="ListParagraph"/>
        <w:numPr>
          <w:ilvl w:val="0"/>
          <w:numId w:val="2"/>
        </w:numPr>
        <w:spacing w:after="100" w:line="268"/>
      </w:pPr>
      <w:r>
        <w:rPr>
          <w:rFonts w:ascii="Calibri" w:cs="Calibri" w:eastAsia="Calibri" w:hAnsi="Calibri"/>
          <w:color w:val="333333"/>
          <w:sz w:val="21"/>
          <w:szCs w:val="21"/>
        </w:rPr>
        <w:t xml:space="preserve">Part 3 -- why every Add / Update action across the Staff Portal now asks “Are you sure?” before it actually saves anything.</w:t>
      </w:r>
    </w:p>
    <w:p>
      <w:pPr>
        <w:pStyle w:val="ListParagraph"/>
        <w:numPr>
          <w:ilvl w:val="0"/>
          <w:numId w:val="2"/>
        </w:numPr>
        <w:spacing w:after="100" w:line="268"/>
      </w:pPr>
      <w:r>
        <w:rPr>
          <w:rFonts w:ascii="Calibri" w:cs="Calibri" w:eastAsia="Calibri" w:hAnsi="Calibri"/>
          <w:color w:val="333333"/>
          <w:sz w:val="21"/>
          <w:szCs w:val="21"/>
        </w:rPr>
        <w:t xml:space="preserve">Part 4 -- why the Age &amp; Status Categories page now shows a success message after every action, the same way the rest of the app already did.</w:t>
      </w:r>
    </w:p>
    <w:p>
      <w:pPr>
        <w:pStyle w:val="ListParagraph"/>
        <w:numPr>
          <w:ilvl w:val="0"/>
          <w:numId w:val="2"/>
        </w:numPr>
        <w:spacing w:after="100" w:line="268"/>
      </w:pPr>
      <w:r>
        <w:rPr>
          <w:rFonts w:ascii="Calibri" w:cs="Calibri" w:eastAsia="Calibri" w:hAnsi="Calibri"/>
          <w:color w:val="333333"/>
          <w:sz w:val="21"/>
          <w:szCs w:val="21"/>
        </w:rPr>
        <w:t xml:space="preserve">Part 5 -- two fixes to the Archive page: who gets credited with a deletion, and why the Restore action is now green.</w:t>
      </w:r>
    </w:p>
    <w:p>
      <w:pPr>
        <w:pStyle w:val="ListParagraph"/>
        <w:numPr>
          <w:ilvl w:val="0"/>
          <w:numId w:val="2"/>
        </w:numPr>
        <w:spacing w:after="100" w:line="268"/>
      </w:pPr>
      <w:r>
        <w:rPr>
          <w:rFonts w:ascii="Calibri" w:cs="Calibri" w:eastAsia="Calibri" w:hAnsi="Calibri"/>
          <w:color w:val="333333"/>
          <w:sz w:val="21"/>
          <w:szCs w:val="21"/>
        </w:rPr>
        <w:t xml:space="preserve">Part 6 -- a one-page map tying every module in the system together.</w:t>
      </w:r>
    </w:p>
    <w:p>
      <w:pPr>
        <w:spacing w:after="160" w:line="276"/>
      </w:pPr>
      <w:r>
        <w:rPr>
          <w:rFonts w:ascii="Calibri" w:cs="Calibri" w:eastAsia="Calibri" w:hAnsi="Calibri"/>
          <w:color w:val="333333"/>
          <w:sz w:val="21"/>
          <w:szCs w:val="21"/>
        </w:rPr>
        <w:t xml:space="preserve">Anyone reading this -- technical or not -- should come away able to explain, in their own words, why the demo data looks the way it does, exactly when a resident is and isn't allowed to tap in or out of an event, and what changed in the last round of updates.</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1 -- The Sample Data (“Seeders”)</w:t>
      </w:r>
    </w:p>
    <w:p>
      <w:pPr>
        <w:pStyle w:val="Heading2"/>
        <w:spacing w:after="140" w:before="320"/>
      </w:pPr>
      <w:r>
        <w:rPr>
          <w:rFonts w:ascii="Calibri" w:cs="Calibri" w:eastAsia="Calibri" w:hAnsi="Calibri"/>
          <w:b/>
          <w:bCs/>
          <w:color w:val="003F42"/>
          <w:sz w:val="24"/>
          <w:szCs w:val="24"/>
        </w:rPr>
        <w:t xml:space="preserve">1.1  What “Seeding” Means</w:t>
      </w:r>
    </w:p>
    <w:p>
      <w:pPr>
        <w:spacing w:after="160" w:line="276"/>
      </w:pPr>
      <w:r>
        <w:rPr>
          <w:rFonts w:ascii="Calibri" w:cs="Calibri" w:eastAsia="Calibri" w:hAnsi="Calibri"/>
          <w:color w:val="333333"/>
          <w:sz w:val="21"/>
          <w:szCs w:val="21"/>
        </w:rPr>
        <w:t xml:space="preserve">A brand-new copy of PiaoConnect starts completely empty -- no residents, no households, no events, nothing. “Seeding” is the process of running a set of scripts that fill the database with realistic, made-up-but-believable barangay records in one go: staff and resident accounts, families grouped into households, a year's worth of events, who attended them, what was spent, what equipment was borrowed, and more.</w:t>
      </w:r>
    </w:p>
    <w:p>
      <w:pPr>
        <w:spacing w:after="160" w:line="276"/>
      </w:pPr>
      <w:r>
        <w:rPr>
          <w:rFonts w:ascii="Calibri" w:cs="Calibri" w:eastAsia="Calibri" w:hAnsi="Calibri"/>
          <w:color w:val="333333"/>
          <w:sz w:val="21"/>
          <w:szCs w:val="21"/>
        </w:rPr>
        <w:t xml:space="preserve">The point isn't just to have “some data.” Every builder below was written to reference real records the earlier builders already created -- a resident isn't just dropped into a membership program at random, they're enrolled because the seeded data actually makes them eligible for it. That's what “interconnected” means here: open any module and the numbers you see are the direct result of choices made by an earlier module, not coincidences.</w:t>
      </w:r>
    </w:p>
    <w:p>
      <w:pPr>
        <w:pStyle w:val="Heading2"/>
        <w:spacing w:after="140" w:before="320"/>
      </w:pPr>
      <w:r>
        <w:rPr>
          <w:rFonts w:ascii="Calibri" w:cs="Calibri" w:eastAsia="Calibri" w:hAnsi="Calibri"/>
          <w:b/>
          <w:bCs/>
          <w:color w:val="003F42"/>
          <w:sz w:val="24"/>
          <w:szCs w:val="24"/>
        </w:rPr>
        <w:t xml:space="preserve">1.2  The 12 Data Builders, and What Each One Creates</w:t>
      </w:r>
    </w:p>
    <w:p>
      <w:pPr>
        <w:spacing w:after="160" w:line="276"/>
      </w:pPr>
      <w:r>
        <w:rPr>
          <w:rFonts w:ascii="Calibri" w:cs="Calibri" w:eastAsia="Calibri" w:hAnsi="Calibri"/>
          <w:color w:val="333333"/>
          <w:sz w:val="21"/>
          <w:szCs w:val="21"/>
        </w:rPr>
        <w:t xml:space="preserve">These run as one combined command and build on each other in order:</w:t>
      </w:r>
    </w:p>
    <w:p>
      <w:pPr>
        <w:spacing w:after="60"/>
      </w:pPr>
    </w:p>
    <w:tbl>
      <w:tblPr>
        <w:tblW w:type="dxa" w:w="10200"/>
        <w:tblBorders>
          <w:top w:val="single" w:color="CFC9BC" w:sz="4"/>
          <w:left w:val="single" w:color="CFC9BC" w:sz="4"/>
          <w:bottom w:val="single" w:color="CFC9BC" w:sz="4"/>
          <w:right w:val="single" w:color="CFC9BC" w:sz="4"/>
          <w:insideH w:val="single" w:color="CFC9BC" w:sz="4"/>
          <w:insideV w:val="single" w:color="CFC9BC" w:sz="4"/>
        </w:tblBorders>
      </w:tblPr>
      <w:tblGrid>
        <w:gridCol w:w="500"/>
        <w:gridCol w:w="1900"/>
        <w:gridCol w:w="5300"/>
        <w:gridCol w:w="2500"/>
      </w:tblGrid>
      <w:tr>
        <w:trPr>
          <w:cantSplit/>
          <w:tblHeader/>
        </w:trPr>
        <w:tc>
          <w:tcPr>
            <w:tcW w:type="dxa" w:w="5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t>
            </w:r>
          </w:p>
        </w:tc>
        <w:tc>
          <w:tcPr>
            <w:tcW w:type="dxa" w:w="19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Builder</w:t>
            </w:r>
          </w:p>
        </w:tc>
        <w:tc>
          <w:tcPr>
            <w:tcW w:type="dxa" w:w="53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What It Creates</w:t>
            </w:r>
          </w:p>
        </w:tc>
        <w:tc>
          <w:tcPr>
            <w:tcW w:type="dxa" w:w="25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How Much</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Age &amp; Status
Categories</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The age groups and civil/current-status labels used to classify residents and gate program eligibility.</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 age groups, 5 statuses</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2</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User Accounts</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Staff and resident accounts with realistic birth dates, gender, and civil status already filled in.</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 staff, 10 residents</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3</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Households</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Groups residents into family households sharing one address and contact number, for household-level SMS.</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 households (8 residents) + 2 residents kept on the older text-only format on purpose</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Membership
Programs</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The barangay assistance programs residents can be enrolled in; two carry automatic eligibility rules (age or civil status).</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 programs</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5</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Program
Enrollment</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Assigns residents into the programs above -- only where the resident's real seeded age or status actually qualifies.</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23 enrollments</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6</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Events</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 full calendar of barangay events across 2026, each with its own approved budget.</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32 events</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7</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Attendance
Records</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Realistic sign-in / sign-out records for every event that has already happened, timed from that event's own schedule.</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 row per eligible resident, per event</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8</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Inventory</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Barangay equipment and supplies -- chairs, tents, sound systems, first-aid kits, and more.</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35 items</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9</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Borrowed
Items</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Equipment checked out to specific events, with quantities automatically deducted from stock.</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46 borrow records across 18 events</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Expenses</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Real spending entries recorded per event, checked against that event's approved budget (3 events run over budget on purpose).</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26 events</w:t>
            </w:r>
          </w:p>
        </w:tc>
      </w:tr>
      <w:tr>
        <w:trPr>
          <w:cantSplit/>
        </w:trPr>
        <w:tc>
          <w:tcPr>
            <w:tcW w:type="dxa" w:w="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11</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Feedback</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Star ratings and comments -- only from residents who actually have a real sign-in on that event.</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 row per attendee who signed in</w:t>
            </w:r>
          </w:p>
        </w:tc>
      </w:tr>
      <w:tr>
        <w:trPr>
          <w:cantSplit/>
        </w:trPr>
        <w:tc>
          <w:tcPr>
            <w:tcW w:type="dxa" w:w="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12</w:t>
            </w:r>
          </w:p>
        </w:tc>
        <w:tc>
          <w:tcPr>
            <w:tcW w:type="dxa" w:w="19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Activity Log</w:t>
            </w:r>
          </w:p>
        </w:tc>
        <w:tc>
          <w:tcPr>
            <w:tcW w:type="dxa" w:w="5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 complete, time-ordered audit trail of who did what, across every module above. Built last so it can look back at everything.</w:t>
            </w:r>
          </w:p>
        </w:tc>
        <w:tc>
          <w:tcPr>
            <w:tcW w:type="dxa" w:w="25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Hundreds of log entries</w:t>
            </w:r>
          </w:p>
        </w:tc>
      </w:tr>
    </w:tbl>
    <w:p>
      <w:pPr>
        <w:pStyle w:val="Heading2"/>
        <w:spacing w:after="140" w:before="320"/>
      </w:pPr>
      <w:r>
        <w:rPr>
          <w:rFonts w:ascii="Calibri" w:cs="Calibri" w:eastAsia="Calibri" w:hAnsi="Calibri"/>
          <w:b/>
          <w:bCs/>
          <w:color w:val="003F42"/>
          <w:sz w:val="24"/>
          <w:szCs w:val="24"/>
        </w:rPr>
        <w:t xml:space="preserve">1.3  Why the Order Matters</w:t>
      </w:r>
    </w:p>
    <w:p>
      <w:pPr>
        <w:spacing w:after="160" w:line="276"/>
      </w:pPr>
      <w:r>
        <w:rPr>
          <w:rFonts w:ascii="Calibri" w:cs="Calibri" w:eastAsia="Calibri" w:hAnsi="Calibri"/>
          <w:color w:val="333333"/>
          <w:sz w:val="21"/>
          <w:szCs w:val="21"/>
        </w:rPr>
        <w:t xml:space="preserve">Each builder above must run in a strict sequence, because later ones look up real rows the earlier ones already created. You cannot enroll a resident into the “Senior Citizen Program” before both the resident and the “Senior Citizen” age group exist -- so age groups and statuses are built first, users second, and so on. The actual run order is:</w:t>
      </w:r>
    </w:p>
    <w:p>
      <w:pPr>
        <w:pStyle w:val="ListParagraph"/>
        <w:numPr>
          <w:ilvl w:val="0"/>
          <w:numId w:val="3"/>
        </w:numPr>
        <w:spacing w:after="100" w:line="268"/>
      </w:pPr>
      <w:r>
        <w:rPr>
          <w:rFonts w:ascii="Calibri" w:cs="Calibri" w:eastAsia="Calibri" w:hAnsi="Calibri"/>
          <w:color w:val="333333"/>
          <w:sz w:val="21"/>
          <w:szCs w:val="21"/>
        </w:rPr>
        <w:t xml:space="preserve">Age Brackets &amp; Civil Statuses</w:t>
      </w:r>
    </w:p>
    <w:p>
      <w:pPr>
        <w:pStyle w:val="ListParagraph"/>
        <w:numPr>
          <w:ilvl w:val="0"/>
          <w:numId w:val="3"/>
        </w:numPr>
        <w:spacing w:after="100" w:line="268"/>
      </w:pPr>
      <w:r>
        <w:rPr>
          <w:rFonts w:ascii="Calibri" w:cs="Calibri" w:eastAsia="Calibri" w:hAnsi="Calibri"/>
          <w:color w:val="333333"/>
          <w:sz w:val="21"/>
          <w:szCs w:val="21"/>
        </w:rPr>
        <w:t xml:space="preserve">User Accounts (Staff + Residents)</w:t>
      </w:r>
    </w:p>
    <w:p>
      <w:pPr>
        <w:pStyle w:val="ListParagraph"/>
        <w:numPr>
          <w:ilvl w:val="0"/>
          <w:numId w:val="3"/>
        </w:numPr>
        <w:spacing w:after="100" w:line="268"/>
      </w:pPr>
      <w:r>
        <w:rPr>
          <w:rFonts w:ascii="Calibri" w:cs="Calibri" w:eastAsia="Calibri" w:hAnsi="Calibri"/>
          <w:color w:val="333333"/>
          <w:sz w:val="21"/>
          <w:szCs w:val="21"/>
        </w:rPr>
        <w:t xml:space="preserve">Households</w:t>
      </w:r>
    </w:p>
    <w:p>
      <w:pPr>
        <w:pStyle w:val="ListParagraph"/>
        <w:numPr>
          <w:ilvl w:val="0"/>
          <w:numId w:val="3"/>
        </w:numPr>
        <w:spacing w:after="100" w:line="268"/>
      </w:pPr>
      <w:r>
        <w:rPr>
          <w:rFonts w:ascii="Calibri" w:cs="Calibri" w:eastAsia="Calibri" w:hAnsi="Calibri"/>
          <w:color w:val="333333"/>
          <w:sz w:val="21"/>
          <w:szCs w:val="21"/>
        </w:rPr>
        <w:t xml:space="preserve">Membership Programs</w:t>
      </w:r>
    </w:p>
    <w:p>
      <w:pPr>
        <w:pStyle w:val="ListParagraph"/>
        <w:numPr>
          <w:ilvl w:val="0"/>
          <w:numId w:val="3"/>
        </w:numPr>
        <w:spacing w:after="100" w:line="268"/>
      </w:pPr>
      <w:r>
        <w:rPr>
          <w:rFonts w:ascii="Calibri" w:cs="Calibri" w:eastAsia="Calibri" w:hAnsi="Calibri"/>
          <w:color w:val="333333"/>
          <w:sz w:val="21"/>
          <w:szCs w:val="21"/>
        </w:rPr>
        <w:t xml:space="preserve">Program Enrollment</w:t>
      </w:r>
    </w:p>
    <w:p>
      <w:pPr>
        <w:pStyle w:val="ListParagraph"/>
        <w:numPr>
          <w:ilvl w:val="0"/>
          <w:numId w:val="3"/>
        </w:numPr>
        <w:spacing w:after="100" w:line="268"/>
      </w:pPr>
      <w:r>
        <w:rPr>
          <w:rFonts w:ascii="Calibri" w:cs="Calibri" w:eastAsia="Calibri" w:hAnsi="Calibri"/>
          <w:color w:val="333333"/>
          <w:sz w:val="21"/>
          <w:szCs w:val="21"/>
        </w:rPr>
        <w:t xml:space="preserve">Events</w:t>
      </w:r>
    </w:p>
    <w:p>
      <w:pPr>
        <w:pStyle w:val="ListParagraph"/>
        <w:numPr>
          <w:ilvl w:val="0"/>
          <w:numId w:val="3"/>
        </w:numPr>
        <w:spacing w:after="100" w:line="268"/>
      </w:pPr>
      <w:r>
        <w:rPr>
          <w:rFonts w:ascii="Calibri" w:cs="Calibri" w:eastAsia="Calibri" w:hAnsi="Calibri"/>
          <w:color w:val="333333"/>
          <w:sz w:val="21"/>
          <w:szCs w:val="21"/>
        </w:rPr>
        <w:t xml:space="preserve">Attendance Records</w:t>
      </w:r>
    </w:p>
    <w:p>
      <w:pPr>
        <w:pStyle w:val="ListParagraph"/>
        <w:numPr>
          <w:ilvl w:val="0"/>
          <w:numId w:val="3"/>
        </w:numPr>
        <w:spacing w:after="100" w:line="268"/>
      </w:pPr>
      <w:r>
        <w:rPr>
          <w:rFonts w:ascii="Calibri" w:cs="Calibri" w:eastAsia="Calibri" w:hAnsi="Calibri"/>
          <w:color w:val="333333"/>
          <w:sz w:val="21"/>
          <w:szCs w:val="21"/>
        </w:rPr>
        <w:t xml:space="preserve">Inventory Items</w:t>
      </w:r>
    </w:p>
    <w:p>
      <w:pPr>
        <w:pStyle w:val="ListParagraph"/>
        <w:numPr>
          <w:ilvl w:val="0"/>
          <w:numId w:val="3"/>
        </w:numPr>
        <w:spacing w:after="100" w:line="268"/>
      </w:pPr>
      <w:r>
        <w:rPr>
          <w:rFonts w:ascii="Calibri" w:cs="Calibri" w:eastAsia="Calibri" w:hAnsi="Calibri"/>
          <w:color w:val="333333"/>
          <w:sz w:val="21"/>
          <w:szCs w:val="21"/>
        </w:rPr>
        <w:t xml:space="preserve">Borrowed Items</w:t>
      </w:r>
    </w:p>
    <w:p>
      <w:pPr>
        <w:pStyle w:val="ListParagraph"/>
        <w:numPr>
          <w:ilvl w:val="0"/>
          <w:numId w:val="3"/>
        </w:numPr>
        <w:spacing w:after="100" w:line="268"/>
      </w:pPr>
      <w:r>
        <w:rPr>
          <w:rFonts w:ascii="Calibri" w:cs="Calibri" w:eastAsia="Calibri" w:hAnsi="Calibri"/>
          <w:color w:val="333333"/>
          <w:sz w:val="21"/>
          <w:szCs w:val="21"/>
        </w:rPr>
        <w:t xml:space="preserve">Expenses</w:t>
      </w:r>
    </w:p>
    <w:p>
      <w:pPr>
        <w:pStyle w:val="ListParagraph"/>
        <w:numPr>
          <w:ilvl w:val="0"/>
          <w:numId w:val="3"/>
        </w:numPr>
        <w:spacing w:after="100" w:line="268"/>
      </w:pPr>
      <w:r>
        <w:rPr>
          <w:rFonts w:ascii="Calibri" w:cs="Calibri" w:eastAsia="Calibri" w:hAnsi="Calibri"/>
          <w:color w:val="333333"/>
          <w:sz w:val="21"/>
          <w:szCs w:val="21"/>
        </w:rPr>
        <w:t xml:space="preserve">Feedback</w:t>
      </w:r>
    </w:p>
    <w:p>
      <w:pPr>
        <w:pStyle w:val="ListParagraph"/>
        <w:numPr>
          <w:ilvl w:val="0"/>
          <w:numId w:val="3"/>
        </w:numPr>
        <w:spacing w:after="100" w:line="268"/>
      </w:pPr>
      <w:r>
        <w:rPr>
          <w:rFonts w:ascii="Calibri" w:cs="Calibri" w:eastAsia="Calibri" w:hAnsi="Calibri"/>
          <w:color w:val="333333"/>
          <w:sz w:val="21"/>
          <w:szCs w:val="21"/>
        </w:rPr>
        <w:t xml:space="preserve">Activity Log (always last)</w:t>
      </w:r>
    </w:p>
    <w:p>
      <w:pPr>
        <w:pStyle w:val="Heading2"/>
        <w:spacing w:after="140" w:before="320"/>
      </w:pPr>
      <w:r>
        <w:rPr>
          <w:rFonts w:ascii="Calibri" w:cs="Calibri" w:eastAsia="Calibri" w:hAnsi="Calibri"/>
          <w:b/>
          <w:bCs/>
          <w:color w:val="003F42"/>
          <w:sz w:val="24"/>
          <w:szCs w:val="24"/>
        </w:rPr>
        <w:t xml:space="preserve">1.4  How the Modules Connect to Each Other</w:t>
      </w:r>
    </w:p>
    <w:p>
      <w:pPr>
        <w:pStyle w:val="ListParagraph"/>
        <w:numPr>
          <w:ilvl w:val="0"/>
          <w:numId w:val="4"/>
        </w:numPr>
        <w:spacing w:after="100" w:line="268"/>
      </w:pPr>
      <w:r>
        <w:rPr>
          <w:rFonts w:ascii="Calibri" w:cs="Calibri" w:eastAsia="Calibri" w:hAnsi="Calibri"/>
          <w:color w:val="333333"/>
          <w:sz w:val="21"/>
          <w:szCs w:val="21"/>
        </w:rPr>
        <w:t xml:space="preserve">Residents connect to Households (family grouping and SMS), to Membership Programs (eligibility), and to Attendance (which events they actually showed up to).</w:t>
      </w:r>
    </w:p>
    <w:p>
      <w:pPr>
        <w:pStyle w:val="ListParagraph"/>
        <w:numPr>
          <w:ilvl w:val="0"/>
          <w:numId w:val="4"/>
        </w:numPr>
        <w:spacing w:after="100" w:line="268"/>
      </w:pPr>
      <w:r>
        <w:rPr>
          <w:rFonts w:ascii="Calibri" w:cs="Calibri" w:eastAsia="Calibri" w:hAnsi="Calibri"/>
          <w:color w:val="333333"/>
          <w:sz w:val="21"/>
          <w:szCs w:val="21"/>
        </w:rPr>
        <w:t xml:space="preserve">Events connect to Attendance (who showed up and when), to Budget &amp; Expenses (what was actually spent against the approved budget), and to Inventory (what equipment was borrowed, and returned to stock once the event is archived).</w:t>
      </w:r>
    </w:p>
    <w:p>
      <w:pPr>
        <w:pStyle w:val="ListParagraph"/>
        <w:numPr>
          <w:ilvl w:val="0"/>
          <w:numId w:val="4"/>
        </w:numPr>
        <w:spacing w:after="100" w:line="268"/>
      </w:pPr>
      <w:r>
        <w:rPr>
          <w:rFonts w:ascii="Calibri" w:cs="Calibri" w:eastAsia="Calibri" w:hAnsi="Calibri"/>
          <w:color w:val="333333"/>
          <w:sz w:val="21"/>
          <w:szCs w:val="21"/>
        </w:rPr>
        <w:t xml:space="preserve">Feedback only exists for residents who have a real sign-in on that event -- it can't be seeded for someone who never attended.</w:t>
      </w:r>
    </w:p>
    <w:p>
      <w:pPr>
        <w:pStyle w:val="ListParagraph"/>
        <w:numPr>
          <w:ilvl w:val="0"/>
          <w:numId w:val="4"/>
        </w:numPr>
        <w:spacing w:after="100" w:line="268"/>
      </w:pPr>
      <w:r>
        <w:rPr>
          <w:rFonts w:ascii="Calibri" w:cs="Calibri" w:eastAsia="Calibri" w:hAnsi="Calibri"/>
          <w:color w:val="333333"/>
          <w:sz w:val="21"/>
          <w:szCs w:val="21"/>
        </w:rPr>
        <w:t xml:space="preserve">Every single action above -- creating a resident, deleting an age bracket, recording an expense, restoring an archived item -- writes into the Activity Log, which is the barangay's permanent “who did what, when” audit trail.</w:t>
      </w:r>
    </w:p>
    <w:p>
      <w:pPr>
        <w:pBdr>
          <w:top w:val="none" w:color="FFFFFF" w:sz="0"/>
          <w:bottom w:val="none" w:color="FFFFFF" w:sz="0"/>
          <w:left w:val="single" w:color="005F63" w:sz="18"/>
          <w:right w:val="none" w:color="FFFFFF" w:sz="0"/>
        </w:pBdr>
        <w:shd w:fill="E6F1F1" w:val="clear"/>
        <w:spacing w:after="200" w:before="80"/>
        <w:ind w:left="200" w:right="200"/>
      </w:pPr>
      <w:r>
        <w:rPr>
          <w:rFonts w:ascii="Calibri" w:cs="Calibri" w:eastAsia="Calibri" w:hAnsi="Calibri"/>
          <w:b/>
          <w:bCs/>
          <w:color w:val="003F42"/>
          <w:sz w:val="20"/>
          <w:szCs w:val="20"/>
        </w:rPr>
        <w:t xml:space="preserve">NOTE: </w:t>
      </w:r>
      <w:r>
        <w:rPr>
          <w:rFonts w:ascii="Calibri" w:cs="Calibri" w:eastAsia="Calibri" w:hAnsi="Calibri"/>
          <w:color w:val="333333"/>
          <w:sz w:val="20"/>
          <w:szCs w:val="20"/>
        </w:rPr>
        <w:t xml:space="preserve">Run “php artisan migrate:fresh --seed” to rebuild the entire database from scratch with this connected demo data. This wipes whatever is currently in the database first -- it's meant for a demo or testing copy, not a live barangay database with real resident records.</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2 -- Attendance Sign-In / Sign-Out Time Windows</w:t>
      </w:r>
    </w:p>
    <w:p>
      <w:pPr>
        <w:pStyle w:val="Heading2"/>
        <w:spacing w:after="140" w:before="320"/>
      </w:pPr>
      <w:r>
        <w:rPr>
          <w:rFonts w:ascii="Calibri" w:cs="Calibri" w:eastAsia="Calibri" w:hAnsi="Calibri"/>
          <w:b/>
          <w:bCs/>
          <w:color w:val="003F42"/>
          <w:sz w:val="24"/>
          <w:szCs w:val="24"/>
        </w:rPr>
        <w:t xml:space="preserve">2.1  The Four Times Every Event Has</w:t>
      </w:r>
    </w:p>
    <w:p>
      <w:pPr>
        <w:spacing w:after="160" w:line="276"/>
      </w:pPr>
      <w:r>
        <w:rPr>
          <w:rFonts w:ascii="Calibri" w:cs="Calibri" w:eastAsia="Calibri" w:hAnsi="Calibri"/>
          <w:color w:val="333333"/>
          <w:sz w:val="21"/>
          <w:szCs w:val="21"/>
        </w:rPr>
        <w:t xml:space="preserve">Every event in PiaoConnect can carry up to four separate times, set by staff when the event is created:</w:t>
      </w:r>
    </w:p>
    <w:p>
      <w:pPr>
        <w:spacing w:after="60"/>
      </w:pPr>
    </w:p>
    <w:tbl>
      <w:tblPr>
        <w:tblW w:type="dxa" w:w="10200"/>
        <w:tblBorders>
          <w:top w:val="single" w:color="CFC9BC" w:sz="4"/>
          <w:left w:val="single" w:color="CFC9BC" w:sz="4"/>
          <w:bottom w:val="single" w:color="CFC9BC" w:sz="4"/>
          <w:right w:val="single" w:color="CFC9BC" w:sz="4"/>
          <w:insideH w:val="single" w:color="CFC9BC" w:sz="4"/>
          <w:insideV w:val="single" w:color="CFC9BC" w:sz="4"/>
        </w:tblBorders>
      </w:tblPr>
      <w:tblGrid>
        <w:gridCol w:w="2600"/>
        <w:gridCol w:w="7600"/>
      </w:tblGrid>
      <w:tr>
        <w:trPr>
          <w:cantSplit/>
          <w:tblHeader/>
        </w:trPr>
        <w:tc>
          <w:tcPr>
            <w:tcW w:type="dxa" w:w="26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Field</w:t>
            </w:r>
          </w:p>
        </w:tc>
        <w:tc>
          <w:tcPr>
            <w:tcW w:type="dxa" w:w="76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Plain-Language Meaning</w:t>
            </w:r>
          </w:p>
        </w:tc>
      </w:tr>
      <w:tr>
        <w:trPr>
          <w:cantSplit/>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(Start)</w:t>
            </w:r>
          </w:p>
        </w:tc>
        <w:tc>
          <w:tcPr>
            <w:tcW w:type="dxa" w:w="7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The earliest time residents are told to arrive -- before the event officially begins. Optional; if left blank, sign-in simply opens at the event's own Start Time instead.</w:t>
            </w:r>
          </w:p>
        </w:tc>
      </w:tr>
      <w:tr>
        <w:trPr>
          <w:cantSplit/>
        </w:trPr>
        <w:tc>
          <w:tcPr>
            <w:tcW w:type="dxa" w:w="2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Start Time</w:t>
            </w:r>
          </w:p>
        </w:tc>
        <w:tc>
          <w:tcPr>
            <w:tcW w:type="dxa" w:w="7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When the event itself officially begins. This is also when the sign-in window closes.</w:t>
            </w:r>
          </w:p>
        </w:tc>
      </w:tr>
      <w:tr>
        <w:trPr>
          <w:cantSplit/>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End Time</w:t>
            </w:r>
          </w:p>
        </w:tc>
        <w:tc>
          <w:tcPr>
            <w:tcW w:type="dxa" w:w="7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When the event itself officially ends. This is also when the sign-out window opens.</w:t>
            </w:r>
          </w:p>
        </w:tc>
      </w:tr>
      <w:tr>
        <w:trPr>
          <w:cantSplit/>
        </w:trPr>
        <w:tc>
          <w:tcPr>
            <w:tcW w:type="dxa" w:w="2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(End)</w:t>
            </w:r>
          </w:p>
        </w:tc>
        <w:tc>
          <w:tcPr>
            <w:tcW w:type="dxa" w:w="7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 grace period after the event ends where residents can still be marked as signed out. Optional; if left blank, sign-out simply has no closing time.</w:t>
            </w:r>
          </w:p>
        </w:tc>
      </w:tr>
    </w:tbl>
    <w:p>
      <w:pPr>
        <w:pStyle w:val="Heading2"/>
        <w:spacing w:after="140" w:before="320"/>
      </w:pPr>
      <w:r>
        <w:rPr>
          <w:rFonts w:ascii="Calibri" w:cs="Calibri" w:eastAsia="Calibri" w:hAnsi="Calibri"/>
          <w:b/>
          <w:bCs/>
          <w:color w:val="003F42"/>
          <w:sz w:val="24"/>
          <w:szCs w:val="24"/>
        </w:rPr>
        <w:t xml:space="preserve">2.2  Worked Example (Using a Real Event Already in the Demo Data)</w:t>
      </w:r>
    </w:p>
    <w:p>
      <w:pPr>
        <w:spacing w:after="160" w:line="276"/>
      </w:pPr>
      <w:r>
        <w:rPr>
          <w:rFonts w:ascii="Calibri" w:cs="Calibri" w:eastAsia="Calibri" w:hAnsi="Calibri"/>
          <w:color w:val="333333"/>
          <w:sz w:val="21"/>
          <w:szCs w:val="21"/>
        </w:rPr>
        <w:t xml:space="preserve">The “Barangay Clean-Up Drive” event -- already sitting in the seeded database from Part 1 -- is a real, ready-made example of exactly this behavior:</w:t>
      </w:r>
    </w:p>
    <w:p>
      <w:pPr>
        <w:spacing w:after="60"/>
      </w:pPr>
    </w:p>
    <w:tbl>
      <w:tblPr>
        <w:tblW w:type="dxa" w:w="10200"/>
        <w:tblBorders>
          <w:top w:val="single" w:color="CFC9BC" w:sz="4"/>
          <w:left w:val="single" w:color="CFC9BC" w:sz="4"/>
          <w:bottom w:val="single" w:color="CFC9BC" w:sz="4"/>
          <w:right w:val="single" w:color="CFC9BC" w:sz="4"/>
          <w:insideH w:val="single" w:color="CFC9BC" w:sz="4"/>
          <w:insideV w:val="single" w:color="CFC9BC" w:sz="4"/>
        </w:tblBorders>
      </w:tblPr>
      <w:tblGrid>
        <w:gridCol w:w="4000"/>
        <w:gridCol w:w="6200"/>
      </w:tblGrid>
      <w:tr>
        <w:trPr>
          <w:cantSplit/>
          <w:tblHeader/>
        </w:trPr>
        <w:tc>
          <w:tcPr>
            <w:tcW w:type="dxa" w:w="40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Field</w:t>
            </w:r>
          </w:p>
        </w:tc>
        <w:tc>
          <w:tcPr>
            <w:tcW w:type="dxa" w:w="62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Time</w:t>
            </w:r>
          </w:p>
        </w:tc>
      </w:tr>
      <w:tr>
        <w:trPr>
          <w:cantSplit/>
        </w:trPr>
        <w:tc>
          <w:tcPr>
            <w:tcW w:type="dxa" w:w="4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(Start)</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6:00 AM</w:t>
            </w:r>
          </w:p>
        </w:tc>
      </w:tr>
      <w:tr>
        <w:trPr>
          <w:cantSplit/>
        </w:trPr>
        <w:tc>
          <w:tcPr>
            <w:tcW w:type="dxa" w:w="4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Start Time</w:t>
            </w:r>
          </w:p>
        </w:tc>
        <w:tc>
          <w:tcPr>
            <w:tcW w:type="dxa" w:w="6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7:00 AM</w:t>
            </w:r>
          </w:p>
        </w:tc>
      </w:tr>
      <w:tr>
        <w:trPr>
          <w:cantSplit/>
        </w:trPr>
        <w:tc>
          <w:tcPr>
            <w:tcW w:type="dxa" w:w="4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End Time</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11:00 AM</w:t>
            </w:r>
          </w:p>
        </w:tc>
      </w:tr>
      <w:tr>
        <w:trPr>
          <w:cantSplit/>
        </w:trPr>
        <w:tc>
          <w:tcPr>
            <w:tcW w:type="dxa" w:w="4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(End)</w:t>
            </w:r>
          </w:p>
        </w:tc>
        <w:tc>
          <w:tcPr>
            <w:tcW w:type="dxa" w:w="6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11:30 AM</w:t>
            </w:r>
          </w:p>
        </w:tc>
      </w:tr>
    </w:tbl>
    <w:p>
      <w:pPr>
        <w:spacing w:after="140"/>
      </w:pPr>
    </w:p>
    <w:p>
      <w:pPr>
        <w:spacing w:after="160" w:line="276"/>
      </w:pPr>
      <w:r>
        <w:rPr>
          <w:rFonts w:ascii="Calibri" w:cs="Calibri" w:eastAsia="Calibri" w:hAnsi="Calibri"/>
          <w:b/>
          <w:bCs/>
          <w:color w:val="333333"/>
          <w:sz w:val="21"/>
          <w:szCs w:val="21"/>
        </w:rPr>
        <w:t xml:space="preserve">From those four times, the system works out two separate windows:</w:t>
      </w:r>
    </w:p>
    <w:p>
      <w:pPr>
        <w:pStyle w:val="ListParagraph"/>
        <w:numPr>
          <w:ilvl w:val="0"/>
          <w:numId w:val="4"/>
        </w:numPr>
        <w:spacing w:after="100" w:line="268"/>
      </w:pPr>
      <w:r>
        <w:rPr>
          <w:rFonts w:ascii="Calibri" w:cs="Calibri" w:eastAsia="Calibri" w:hAnsi="Calibri"/>
          <w:color w:val="333333"/>
          <w:sz w:val="21"/>
          <w:szCs w:val="21"/>
        </w:rPr>
        <w:t xml:space="preserve">Sign-In Window: 6:00 AM – 7:00 AM  (Call Time Start → Start Time)</w:t>
      </w:r>
    </w:p>
    <w:p>
      <w:pPr>
        <w:pStyle w:val="ListParagraph"/>
        <w:numPr>
          <w:ilvl w:val="0"/>
          <w:numId w:val="4"/>
        </w:numPr>
        <w:spacing w:after="100" w:line="268"/>
      </w:pPr>
      <w:r>
        <w:rPr>
          <w:rFonts w:ascii="Calibri" w:cs="Calibri" w:eastAsia="Calibri" w:hAnsi="Calibri"/>
          <w:color w:val="333333"/>
          <w:sz w:val="21"/>
          <w:szCs w:val="21"/>
        </w:rPr>
        <w:t xml:space="preserve">Sign-Out Window: 11:00 AM – 11:30 AM  (End Time → Call Time End)</w:t>
      </w:r>
    </w:p>
    <w:p>
      <w:pPr>
        <w:pBdr>
          <w:top w:val="none" w:color="FFFFFF" w:sz="0"/>
          <w:bottom w:val="none" w:color="FFFFFF" w:sz="0"/>
          <w:left w:val="single" w:color="005F63" w:sz="18"/>
          <w:right w:val="none" w:color="FFFFFF" w:sz="0"/>
        </w:pBdr>
        <w:shd w:fill="E6F1F1" w:val="clear"/>
        <w:spacing w:after="200" w:before="80"/>
        <w:ind w:left="200" w:right="200"/>
      </w:pPr>
      <w:r>
        <w:rPr>
          <w:rFonts w:ascii="Calibri" w:cs="Calibri" w:eastAsia="Calibri" w:hAnsi="Calibri"/>
          <w:b/>
          <w:bCs/>
          <w:color w:val="003F42"/>
          <w:sz w:val="20"/>
          <w:szCs w:val="20"/>
        </w:rPr>
        <w:t xml:space="preserve">NOTE: </w:t>
      </w:r>
      <w:r>
        <w:rPr>
          <w:rFonts w:ascii="Calibri" w:cs="Calibri" w:eastAsia="Calibri" w:hAnsi="Calibri"/>
          <w:color w:val="333333"/>
          <w:sz w:val="20"/>
          <w:szCs w:val="20"/>
        </w:rPr>
        <w:t xml:space="preserve">The same rule applies to any event, using its own times -- for example, a Call Time of 6:00 with the event running 7:00–10:00 and a Call Time End of 10:30 gives a Sign-In Window of 6:00–7:00 and a Sign-Out Window of 10:00–10:30, exactly the same way.</w:t>
      </w:r>
    </w:p>
    <w:p>
      <w:pPr>
        <w:pStyle w:val="Heading2"/>
        <w:spacing w:after="140" w:before="320"/>
      </w:pPr>
      <w:r>
        <w:rPr>
          <w:rFonts w:ascii="Calibri" w:cs="Calibri" w:eastAsia="Calibri" w:hAnsi="Calibri"/>
          <w:b/>
          <w:bCs/>
          <w:color w:val="003F42"/>
          <w:sz w:val="24"/>
          <w:szCs w:val="24"/>
        </w:rPr>
        <w:t xml:space="preserve">2.3  The Rule, In General Terms</w:t>
      </w:r>
    </w:p>
    <w:tbl>
      <w:tblPr>
        <w:tblW w:type="dxa" w:w="10600"/>
        <w:tblBorders>
          <w:top w:val="single" w:color="CFC9BC" w:sz="4"/>
          <w:left w:val="single" w:color="CFC9BC" w:sz="4"/>
          <w:bottom w:val="single" w:color="CFC9BC" w:sz="4"/>
          <w:right w:val="single" w:color="CFC9BC" w:sz="4"/>
          <w:insideH w:val="single" w:color="CFC9BC" w:sz="4"/>
          <w:insideV w:val="single" w:color="CFC9BC" w:sz="4"/>
        </w:tblBorders>
      </w:tblPr>
      <w:tblGrid>
        <w:gridCol w:w="2000"/>
        <w:gridCol w:w="4300"/>
        <w:gridCol w:w="4300"/>
      </w:tblGrid>
      <w:tr>
        <w:trPr>
          <w:cantSplit/>
          <w:tblHeader/>
        </w:trPr>
        <w:tc>
          <w:tcPr>
            <w:tcW w:type="dxa" w:w="20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Window</w:t>
            </w:r>
          </w:p>
        </w:tc>
        <w:tc>
          <w:tcPr>
            <w:tcW w:type="dxa" w:w="43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Opens At</w:t>
            </w:r>
          </w:p>
        </w:tc>
        <w:tc>
          <w:tcPr>
            <w:tcW w:type="dxa" w:w="43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Closes At</w:t>
            </w:r>
          </w:p>
        </w:tc>
      </w:tr>
      <w:tr>
        <w:trPr>
          <w:cantSplit/>
        </w:trP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Sign-In</w:t>
            </w:r>
          </w:p>
        </w:tc>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Start (or Start Time, if no Call Time was set)</w:t>
            </w:r>
          </w:p>
        </w:tc>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Start Time</w:t>
            </w:r>
          </w:p>
        </w:tc>
      </w:tr>
      <w:tr>
        <w:trPr>
          <w:cantSplit/>
        </w:trPr>
        <w:tc>
          <w:tcPr>
            <w:tcW w:type="dxa" w:w="2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Sign-Out</w:t>
            </w:r>
          </w:p>
        </w:tc>
        <w:tc>
          <w:tcPr>
            <w:tcW w:type="dxa" w:w="4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End Time</w:t>
            </w:r>
          </w:p>
        </w:tc>
        <w:tc>
          <w:tcPr>
            <w:tcW w:type="dxa" w:w="43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Call Time End (or stays open indefinitely, if no Call Time End was set)</w:t>
            </w:r>
          </w:p>
        </w:tc>
      </w:tr>
    </w:tbl>
    <w:p>
      <w:pPr>
        <w:pStyle w:val="Heading2"/>
        <w:spacing w:after="140" w:before="320"/>
      </w:pPr>
      <w:r>
        <w:rPr>
          <w:rFonts w:ascii="Calibri" w:cs="Calibri" w:eastAsia="Calibri" w:hAnsi="Calibri"/>
          <w:b/>
          <w:bCs/>
          <w:color w:val="003F42"/>
          <w:sz w:val="24"/>
          <w:szCs w:val="24"/>
        </w:rPr>
        <w:t xml:space="preserve">2.4  What Staff See Outside the Window</w:t>
      </w:r>
    </w:p>
    <w:p>
      <w:pPr>
        <w:spacing w:after="160" w:line="276"/>
      </w:pPr>
      <w:r>
        <w:rPr>
          <w:rFonts w:ascii="Calibri" w:cs="Calibri" w:eastAsia="Calibri" w:hAnsi="Calibri"/>
          <w:color w:val="333333"/>
          <w:sz w:val="21"/>
          <w:szCs w:val="21"/>
        </w:rPr>
        <w:t xml:space="preserve">The rule above isn't just enforced quietly on the backend -- the scanner staff use to sign residents in and out actively watches the clock and reacts on its own:</w:t>
      </w:r>
    </w:p>
    <w:p>
      <w:pPr>
        <w:pStyle w:val="ListParagraph"/>
        <w:numPr>
          <w:ilvl w:val="0"/>
          <w:numId w:val="4"/>
        </w:numPr>
        <w:spacing w:after="100" w:line="268"/>
      </w:pPr>
      <w:r>
        <w:rPr>
          <w:rFonts w:ascii="Calibri" w:cs="Calibri" w:eastAsia="Calibri" w:hAnsi="Calibri"/>
          <w:color w:val="333333"/>
          <w:sz w:val="21"/>
          <w:szCs w:val="21"/>
        </w:rPr>
        <w:t xml:space="preserve">Before the sign-in window opens: a banner on the scanner reads “Sign-in opens at 6:00 AM,” and any scan attempt is blocked with the same message.</w:t>
      </w:r>
    </w:p>
    <w:p>
      <w:pPr>
        <w:pStyle w:val="ListParagraph"/>
        <w:numPr>
          <w:ilvl w:val="0"/>
          <w:numId w:val="4"/>
        </w:numPr>
        <w:spacing w:after="100" w:line="268"/>
      </w:pPr>
      <w:r>
        <w:rPr>
          <w:rFonts w:ascii="Calibri" w:cs="Calibri" w:eastAsia="Calibri" w:hAnsi="Calibri"/>
          <w:color w:val="333333"/>
          <w:sz w:val="21"/>
          <w:szCs w:val="21"/>
        </w:rPr>
        <w:t xml:space="preserve">The moment the sign-in window opens (6:00 AM): a pop-up message appears telling staff that sign-in is now open, so they don't have to keep refreshing or checking a clock.</w:t>
      </w:r>
    </w:p>
    <w:p>
      <w:pPr>
        <w:pStyle w:val="ListParagraph"/>
        <w:numPr>
          <w:ilvl w:val="0"/>
          <w:numId w:val="4"/>
        </w:numPr>
        <w:spacing w:after="100" w:line="268"/>
      </w:pPr>
      <w:r>
        <w:rPr>
          <w:rFonts w:ascii="Calibri" w:cs="Calibri" w:eastAsia="Calibri" w:hAnsi="Calibri"/>
          <w:color w:val="333333"/>
          <w:sz w:val="21"/>
          <w:szCs w:val="21"/>
        </w:rPr>
        <w:t xml:space="preserve">The moment the sign-in window closes (7:00 AM, the event's Start Time): a pop-up tells staff sign-in has closed, and the scanner automatically switches itself into Sign-Out mode.</w:t>
      </w:r>
    </w:p>
    <w:p>
      <w:pPr>
        <w:pStyle w:val="ListParagraph"/>
        <w:numPr>
          <w:ilvl w:val="0"/>
          <w:numId w:val="4"/>
        </w:numPr>
        <w:spacing w:after="100" w:line="268"/>
      </w:pPr>
      <w:r>
        <w:rPr>
          <w:rFonts w:ascii="Calibri" w:cs="Calibri" w:eastAsia="Calibri" w:hAnsi="Calibri"/>
          <w:color w:val="333333"/>
          <w:sz w:val="21"/>
          <w:szCs w:val="21"/>
        </w:rPr>
        <w:t xml:space="preserve">The moment the sign-out window opens (11:00 AM, the event's End Time): another pop-up tells staff sign-out is now open.</w:t>
      </w:r>
    </w:p>
    <w:p>
      <w:pPr>
        <w:pStyle w:val="ListParagraph"/>
        <w:numPr>
          <w:ilvl w:val="0"/>
          <w:numId w:val="4"/>
        </w:numPr>
        <w:spacing w:after="100" w:line="268"/>
      </w:pPr>
      <w:r>
        <w:rPr>
          <w:rFonts w:ascii="Calibri" w:cs="Calibri" w:eastAsia="Calibri" w:hAnsi="Calibri"/>
          <w:color w:val="333333"/>
          <w:sz w:val="21"/>
          <w:szCs w:val="21"/>
        </w:rPr>
        <w:t xml:space="preserve">The moment the sign-out window closes (11:30 AM, Call Time End): a final pop-up tells staff sign-out has closed too.</w:t>
      </w:r>
    </w:p>
    <w:p>
      <w:pPr>
        <w:pBdr>
          <w:top w:val="none" w:color="FFFFFF" w:sz="0"/>
          <w:bottom w:val="none" w:color="FFFFFF" w:sz="0"/>
          <w:left w:val="single" w:color="005F63" w:sz="18"/>
          <w:right w:val="none" w:color="FFFFFF" w:sz="0"/>
        </w:pBdr>
        <w:shd w:fill="E6F1F1" w:val="clear"/>
        <w:spacing w:after="200" w:before="80"/>
        <w:ind w:left="200" w:right="200"/>
      </w:pPr>
      <w:r>
        <w:rPr>
          <w:rFonts w:ascii="Calibri" w:cs="Calibri" w:eastAsia="Calibri" w:hAnsi="Calibri"/>
          <w:b/>
          <w:bCs/>
          <w:color w:val="003F42"/>
          <w:sz w:val="20"/>
          <w:szCs w:val="20"/>
        </w:rPr>
        <w:t xml:space="preserve">NOTE: </w:t>
      </w:r>
      <w:r>
        <w:rPr>
          <w:rFonts w:ascii="Calibri" w:cs="Calibri" w:eastAsia="Calibri" w:hAnsi="Calibri"/>
          <w:color w:val="333333"/>
          <w:sz w:val="20"/>
          <w:szCs w:val="20"/>
        </w:rPr>
        <w:t xml:space="preserve">If a resident's QR code is scanned outside any of these windows, the system rejects it with a clear message (for example, “Sign-in window has closed. It closed at 7:00 AM.”) instead of silently recording an attendance time that doesn't match what actually happened.</w:t>
      </w:r>
    </w:p>
    <w:p>
      <w:pPr>
        <w:pStyle w:val="Heading2"/>
        <w:spacing w:after="140" w:before="320"/>
      </w:pPr>
      <w:r>
        <w:rPr>
          <w:rFonts w:ascii="Calibri" w:cs="Calibri" w:eastAsia="Calibri" w:hAnsi="Calibri"/>
          <w:b/>
          <w:bCs/>
          <w:color w:val="003F42"/>
          <w:sz w:val="24"/>
          <w:szCs w:val="24"/>
        </w:rPr>
        <w:t xml:space="preserve">2.5  Why a Pop-Up Instead of Just an Error Message</w:t>
      </w:r>
    </w:p>
    <w:p>
      <w:pPr>
        <w:spacing w:after="160" w:line="276"/>
      </w:pPr>
      <w:r>
        <w:rPr>
          <w:rFonts w:ascii="Calibri" w:cs="Calibri" w:eastAsia="Calibri" w:hAnsi="Calibri"/>
          <w:color w:val="333333"/>
          <w:sz w:val="21"/>
          <w:szCs w:val="21"/>
        </w:rPr>
        <w:t xml:space="preserve">Rather than relying on a staff member to remember to check the time or refresh the page, the scanner keeps its own clock running in the background and interrupts staff automatically the instant a window opens or closes -- the same way a phone alarm goes off on its own instead of someone needing to keep glancing at a clock. This matters in practice: call time and event time are rarely the same moment at a real barangay event, and expecting a volunteer at the registration table to track two separate cutoffs by memory is exactly the kind of small, avoidable mistake this feature removes.</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3 -- “Are You Sure?” Before Every Save</w:t>
      </w:r>
    </w:p>
    <w:p>
      <w:pPr>
        <w:pStyle w:val="Heading2"/>
        <w:spacing w:after="140" w:before="320"/>
      </w:pPr>
      <w:r>
        <w:rPr>
          <w:rFonts w:ascii="Calibri" w:cs="Calibri" w:eastAsia="Calibri" w:hAnsi="Calibri"/>
          <w:b/>
          <w:bCs/>
          <w:color w:val="003F42"/>
          <w:sz w:val="24"/>
          <w:szCs w:val="24"/>
        </w:rPr>
        <w:t xml:space="preserve">3.1  What Changed</w:t>
      </w:r>
    </w:p>
    <w:p>
      <w:pPr>
        <w:spacing w:after="160" w:line="276"/>
      </w:pPr>
      <w:r>
        <w:rPr>
          <w:rFonts w:ascii="Calibri" w:cs="Calibri" w:eastAsia="Calibri" w:hAnsi="Calibri"/>
          <w:color w:val="333333"/>
          <w:sz w:val="21"/>
          <w:szCs w:val="21"/>
        </w:rPr>
        <w:t xml:space="preserve">Before this update, clicking Add or Update on any staff form saved the change immediately -- one tap, and it was done. Now, every Add and Update action across the Staff Portal shows a confirmation pop-up first, asking “Are you sure you want to add / update this?” with a Cancel and a Yes button. Nothing is saved until staff explicitly presses Yes -- the same “are you sure” pattern the app already used for Delete actions, now applied to saving as well.</w:t>
      </w:r>
    </w:p>
    <w:p>
      <w:pPr>
        <w:pStyle w:val="Heading2"/>
        <w:spacing w:after="140" w:before="320"/>
      </w:pPr>
      <w:r>
        <w:rPr>
          <w:rFonts w:ascii="Calibri" w:cs="Calibri" w:eastAsia="Calibri" w:hAnsi="Calibri"/>
          <w:b/>
          <w:bCs/>
          <w:color w:val="003F42"/>
          <w:sz w:val="24"/>
          <w:szCs w:val="24"/>
        </w:rPr>
        <w:t xml:space="preserve">3.2  Where This Applies</w:t>
      </w:r>
    </w:p>
    <w:tbl>
      <w:tblPr>
        <w:tblW w:type="dxa" w:w="9200"/>
        <w:tblBorders>
          <w:top w:val="single" w:color="CFC9BC" w:sz="4"/>
          <w:left w:val="single" w:color="CFC9BC" w:sz="4"/>
          <w:bottom w:val="single" w:color="CFC9BC" w:sz="4"/>
          <w:right w:val="single" w:color="CFC9BC" w:sz="4"/>
          <w:insideH w:val="single" w:color="CFC9BC" w:sz="4"/>
          <w:insideV w:val="single" w:color="CFC9BC" w:sz="4"/>
        </w:tblBorders>
      </w:tblPr>
      <w:tblGrid>
        <w:gridCol w:w="3200"/>
        <w:gridCol w:w="6000"/>
      </w:tblGrid>
      <w:tr>
        <w:trPr>
          <w:cantSplit/>
          <w:tblHeader/>
        </w:trPr>
        <w:tc>
          <w:tcPr>
            <w:tcW w:type="dxa" w:w="32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60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Action(s) Now Confirmed</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Inventory</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Add Item, Update Item</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Households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Add Household, Edit Household</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Events</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Create Event, Update Event</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Residents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Add Resident, Update Resident</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Budget &amp; Expenses</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Record Expense, Update Expense</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Age &amp; Status Categories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Add / Edit Age Bracket, Add / Edit Civil Status</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Memberships</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Add Membership, Edit Membership</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Integrations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Connect Facebook Page</w:t>
            </w:r>
          </w:p>
        </w:tc>
      </w:tr>
    </w:tbl>
    <w:p>
      <w:pPr>
        <w:pStyle w:val="Heading2"/>
        <w:spacing w:after="140" w:before="320"/>
      </w:pPr>
      <w:r>
        <w:rPr>
          <w:rFonts w:ascii="Calibri" w:cs="Calibri" w:eastAsia="Calibri" w:hAnsi="Calibri"/>
          <w:b/>
          <w:bCs/>
          <w:color w:val="003F42"/>
          <w:sz w:val="24"/>
          <w:szCs w:val="24"/>
        </w:rPr>
        <w:t xml:space="preserve">3.3  What Staff Actually See</w:t>
      </w:r>
    </w:p>
    <w:p>
      <w:pPr>
        <w:pStyle w:val="ListParagraph"/>
        <w:numPr>
          <w:ilvl w:val="0"/>
          <w:numId w:val="5"/>
        </w:numPr>
        <w:spacing w:after="100" w:line="268"/>
      </w:pPr>
      <w:r>
        <w:rPr>
          <w:rFonts w:ascii="Calibri" w:cs="Calibri" w:eastAsia="Calibri" w:hAnsi="Calibri"/>
          <w:color w:val="333333"/>
          <w:sz w:val="21"/>
          <w:szCs w:val="21"/>
        </w:rPr>
        <w:t xml:space="preserve">Fill out the form as usual (adding a resident, editing an event, recording an expense, etc.) and press Add or Update.</w:t>
      </w:r>
    </w:p>
    <w:p>
      <w:pPr>
        <w:pStyle w:val="ListParagraph"/>
        <w:numPr>
          <w:ilvl w:val="0"/>
          <w:numId w:val="5"/>
        </w:numPr>
        <w:spacing w:after="100" w:line="268"/>
      </w:pPr>
      <w:r>
        <w:rPr>
          <w:rFonts w:ascii="Calibri" w:cs="Calibri" w:eastAsia="Calibri" w:hAnsi="Calibri"/>
          <w:color w:val="333333"/>
          <w:sz w:val="21"/>
          <w:szCs w:val="21"/>
        </w:rPr>
        <w:t xml:space="preserve">A confirmation pop-up appears: “Are you sure you want to add / update this?” with Cancel and Yes.</w:t>
      </w:r>
    </w:p>
    <w:p>
      <w:pPr>
        <w:pStyle w:val="ListParagraph"/>
        <w:numPr>
          <w:ilvl w:val="0"/>
          <w:numId w:val="5"/>
        </w:numPr>
        <w:spacing w:after="100" w:line="268"/>
      </w:pPr>
      <w:r>
        <w:rPr>
          <w:rFonts w:ascii="Calibri" w:cs="Calibri" w:eastAsia="Calibri" w:hAnsi="Calibri"/>
          <w:color w:val="333333"/>
          <w:sz w:val="21"/>
          <w:szCs w:val="21"/>
        </w:rPr>
        <w:t xml:space="preserve">Pressing Cancel simply closes the pop-up -- the form stays open with everything already typed still in place. Nothing is lost, and nothing was saved.</w:t>
      </w:r>
    </w:p>
    <w:p>
      <w:pPr>
        <w:pStyle w:val="ListParagraph"/>
        <w:numPr>
          <w:ilvl w:val="0"/>
          <w:numId w:val="5"/>
        </w:numPr>
        <w:spacing w:after="100" w:line="268"/>
      </w:pPr>
      <w:r>
        <w:rPr>
          <w:rFonts w:ascii="Calibri" w:cs="Calibri" w:eastAsia="Calibri" w:hAnsi="Calibri"/>
          <w:color w:val="333333"/>
          <w:sz w:val="21"/>
          <w:szCs w:val="21"/>
        </w:rPr>
        <w:t xml:space="preserve">Pressing Yes is what actually sends the save to the system. The same green Success pop-up staff already know appears right after, exactly as before.</w:t>
      </w:r>
    </w:p>
    <w:p>
      <w:pPr>
        <w:pStyle w:val="Heading2"/>
        <w:spacing w:after="140" w:before="320"/>
      </w:pPr>
      <w:r>
        <w:rPr>
          <w:rFonts w:ascii="Calibri" w:cs="Calibri" w:eastAsia="Calibri" w:hAnsi="Calibri"/>
          <w:b/>
          <w:bCs/>
          <w:color w:val="003F42"/>
          <w:sz w:val="24"/>
          <w:szCs w:val="24"/>
        </w:rPr>
        <w:t xml:space="preserve">3.4  Why This Matters</w:t>
      </w:r>
    </w:p>
    <w:p>
      <w:pPr>
        <w:spacing w:after="160" w:line="276"/>
      </w:pPr>
      <w:r>
        <w:rPr>
          <w:rFonts w:ascii="Calibri" w:cs="Calibri" w:eastAsia="Calibri" w:hAnsi="Calibri"/>
          <w:color w:val="333333"/>
          <w:sz w:val="21"/>
          <w:szCs w:val="21"/>
        </w:rPr>
        <w:t xml:space="preserve">A barangay hall registration table is a busy, often touchscreen environment -- an accidental tap on a phone or tablet used to be enough to permanently change a resident's record, delete an event's data, or record an expense that never happened. This extra step costs one tap, but it turns every save into a deliberate decision instead of an accident.</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4 -- A Success Message After Every Action</w:t>
      </w:r>
    </w:p>
    <w:p>
      <w:pPr>
        <w:pStyle w:val="Heading2"/>
        <w:spacing w:after="140" w:before="320"/>
      </w:pPr>
      <w:r>
        <w:rPr>
          <w:rFonts w:ascii="Calibri" w:cs="Calibri" w:eastAsia="Calibri" w:hAnsi="Calibri"/>
          <w:b/>
          <w:bCs/>
          <w:color w:val="003F42"/>
          <w:sz w:val="24"/>
          <w:szCs w:val="24"/>
        </w:rPr>
        <w:t xml:space="preserve">4.1  What Changed</w:t>
      </w:r>
    </w:p>
    <w:p>
      <w:pPr>
        <w:spacing w:after="160" w:line="276"/>
      </w:pPr>
      <w:r>
        <w:rPr>
          <w:rFonts w:ascii="Calibri" w:cs="Calibri" w:eastAsia="Calibri" w:hAnsi="Calibri"/>
          <w:color w:val="333333"/>
          <w:sz w:val="21"/>
          <w:szCs w:val="21"/>
        </w:rPr>
        <w:t xml:space="preserve">The Age &amp; Status Categories page (Settings → Age &amp; Status Categories, where staff manage Age Brackets like “Senior Citizen” and Civil Statuses like “Solo Parent”) used to save, update, and delete records completely silently -- the list on screen would just refresh, with nothing telling staff whether their action actually went through.</w:t>
      </w:r>
    </w:p>
    <w:p>
      <w:pPr>
        <w:spacing w:after="160" w:line="276"/>
      </w:pPr>
      <w:r>
        <w:rPr>
          <w:rFonts w:ascii="Calibri" w:cs="Calibri" w:eastAsia="Calibri" w:hAnsi="Calibri"/>
          <w:color w:val="333333"/>
          <w:sz w:val="21"/>
          <w:szCs w:val="21"/>
        </w:rPr>
        <w:t xml:space="preserve">It now shows the same green “Success” pop-up every other module in the app already uses, with a message specific to what just happened -- for example “Age bracket added successfully,” “Civil status updated successfully,” or “Age bracket deleted successfully.” This applies to Add, Update, and Delete on both Age Brackets and Civil Statuses.</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5 -- Two Fixes to the Archive Page</w:t>
      </w:r>
    </w:p>
    <w:p>
      <w:pPr>
        <w:pStyle w:val="Heading2"/>
        <w:spacing w:after="140" w:before="320"/>
      </w:pPr>
      <w:r>
        <w:rPr>
          <w:rFonts w:ascii="Calibri" w:cs="Calibri" w:eastAsia="Calibri" w:hAnsi="Calibri"/>
          <w:b/>
          <w:bCs/>
          <w:color w:val="003F42"/>
          <w:sz w:val="24"/>
          <w:szCs w:val="24"/>
        </w:rPr>
        <w:t xml:space="preserve">5.1  “Deleted By” Now Shows the Real Staff Member</w:t>
      </w:r>
    </w:p>
    <w:p>
      <w:pPr>
        <w:spacing w:after="160" w:line="276"/>
      </w:pPr>
      <w:r>
        <w:rPr>
          <w:rFonts w:ascii="Calibri" w:cs="Calibri" w:eastAsia="Calibri" w:hAnsi="Calibri"/>
          <w:color w:val="333333"/>
          <w:sz w:val="21"/>
          <w:szCs w:val="21"/>
        </w:rPr>
        <w:t xml:space="preserve">The Archive page (where deleted records can be restored) has a “Deleted By” column meant to show which staff member deleted each record. For Age Brackets and Civil Statuses specifically, that column always showed “SYSTEM” -- even when a real, logged-in staff member did the deleting -- because those two record types never had anywhere in the database to actually store who deleted them.</w:t>
      </w:r>
    </w:p>
    <w:p>
      <w:pPr>
        <w:spacing w:after="160" w:line="276"/>
      </w:pPr>
      <w:r>
        <w:rPr>
          <w:rFonts w:ascii="Calibri" w:cs="Calibri" w:eastAsia="Calibri" w:hAnsi="Calibri"/>
          <w:color w:val="333333"/>
          <w:sz w:val="21"/>
          <w:szCs w:val="21"/>
        </w:rPr>
        <w:t xml:space="preserve">That's fixed: deleting an Age Bracket or Civil Status now records the real staff member's user code (for example, PR-0004) in the same way every other module already did -- Residents, Events, Inventory, and Memberships all worked correctly before this fix; Age Brackets and Civil Statuses were the two records that didn't.</w:t>
      </w:r>
    </w:p>
    <w:p>
      <w:pPr>
        <w:pBdr>
          <w:top w:val="none" w:color="FFFFFF" w:sz="0"/>
          <w:bottom w:val="none" w:color="FFFFFF" w:sz="0"/>
          <w:left w:val="single" w:color="005F63" w:sz="18"/>
          <w:right w:val="none" w:color="FFFFFF" w:sz="0"/>
        </w:pBdr>
        <w:shd w:fill="E6F1F1" w:val="clear"/>
        <w:spacing w:after="200" w:before="80"/>
        <w:ind w:left="200" w:right="200"/>
      </w:pPr>
      <w:r>
        <w:rPr>
          <w:rFonts w:ascii="Calibri" w:cs="Calibri" w:eastAsia="Calibri" w:hAnsi="Calibri"/>
          <w:b/>
          <w:bCs/>
          <w:color w:val="003F42"/>
          <w:sz w:val="20"/>
          <w:szCs w:val="20"/>
        </w:rPr>
        <w:t xml:space="preserve">NOTE: </w:t>
      </w:r>
      <w:r>
        <w:rPr>
          <w:rFonts w:ascii="Calibri" w:cs="Calibri" w:eastAsia="Calibri" w:hAnsi="Calibri"/>
          <w:color w:val="333333"/>
          <w:sz w:val="20"/>
          <w:szCs w:val="20"/>
        </w:rPr>
        <w:t xml:space="preserve">This only applies going forward. Anything already sitting in the Archive from before this fix will still show “SYSTEM,” because that information was genuinely never captured for those older records -- there's no way to recover who deleted them after the fact.</w:t>
      </w:r>
    </w:p>
    <w:p>
      <w:pPr>
        <w:pStyle w:val="Heading2"/>
        <w:spacing w:after="140" w:before="320"/>
      </w:pPr>
      <w:r>
        <w:rPr>
          <w:rFonts w:ascii="Calibri" w:cs="Calibri" w:eastAsia="Calibri" w:hAnsi="Calibri"/>
          <w:b/>
          <w:bCs/>
          <w:color w:val="003F42"/>
          <w:sz w:val="24"/>
          <w:szCs w:val="24"/>
        </w:rPr>
        <w:t xml:space="preserve">5.2  Restore Actions Are Now Green</w:t>
      </w:r>
    </w:p>
    <w:p>
      <w:pPr>
        <w:spacing w:after="160" w:line="276"/>
      </w:pPr>
      <w:r>
        <w:rPr>
          <w:rFonts w:ascii="Calibri" w:cs="Calibri" w:eastAsia="Calibri" w:hAnsi="Calibri"/>
          <w:color w:val="333333"/>
          <w:sz w:val="21"/>
          <w:szCs w:val="21"/>
        </w:rPr>
        <w:t xml:space="preserve">The Restore button, its “are you sure you want to restore this?” confirmation pop-up, and the final “Item restored successfully!” message on the Archive page were previously amber/orange -- the same color the app uses elsewhere for warnings. They're now green throughout, all three in the same flow, because restoring an archived record is a positive, undo-style action, not a warning. This keeps the Archive page's colors meaningful at a glance: red for delete, green for restore, amber reserved for genuine warnings.</w:t>
      </w:r>
    </w:p>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Part 6 -- How Everything Connects, At a Glance</w:t>
      </w:r>
    </w:p>
    <w:p>
      <w:pPr>
        <w:spacing w:after="160" w:line="276"/>
      </w:pPr>
      <w:r>
        <w:rPr>
          <w:rFonts w:ascii="Calibri" w:cs="Calibri" w:eastAsia="Calibri" w:hAnsi="Calibri"/>
          <w:color w:val="333333"/>
          <w:sz w:val="21"/>
          <w:szCs w:val="21"/>
        </w:rPr>
        <w:t xml:space="preserve">This is the same system Part 1's demo data was built to demonstrate -- every arrow below is a real, working link in the actual application, not just a plan:</w:t>
      </w:r>
    </w:p>
    <w:p>
      <w:pPr>
        <w:spacing w:after="60"/>
      </w:pPr>
    </w:p>
    <w:tbl>
      <w:tblPr>
        <w:tblW w:type="dxa" w:w="9200"/>
        <w:tblBorders>
          <w:top w:val="single" w:color="CFC9BC" w:sz="4"/>
          <w:left w:val="single" w:color="CFC9BC" w:sz="4"/>
          <w:bottom w:val="single" w:color="CFC9BC" w:sz="4"/>
          <w:right w:val="single" w:color="CFC9BC" w:sz="4"/>
          <w:insideH w:val="single" w:color="CFC9BC" w:sz="4"/>
          <w:insideV w:val="single" w:color="CFC9BC" w:sz="4"/>
        </w:tblBorders>
      </w:tblPr>
      <w:tblGrid>
        <w:gridCol w:w="3200"/>
        <w:gridCol w:w="6000"/>
      </w:tblGrid>
      <w:tr>
        <w:trPr>
          <w:cantSplit/>
          <w:tblHeader/>
        </w:trPr>
        <w:tc>
          <w:tcPr>
            <w:tcW w:type="dxa" w:w="32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60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Feeds Into</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Age &amp; Status Categories</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Resident profiling, Membership Program eligibility rules</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Residents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Households (family SMS), Memberships (program enrollment), Attendance, Feedback</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Households</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SMS notifications sent to the household head (or every member, if no head is set)</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Events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Attendance, Budget &amp; Expenses, Inventory (borrowed items), Notifications, Activity Log</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Attendance</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Feedback (only attendees who actually signed in can leave feedback), Reports</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Budget &amp; Expenses</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Reports (spending vs. each event's approved budget)</w:t>
            </w:r>
          </w:p>
        </w:tc>
      </w:tr>
      <w:tr>
        <w:trPr>
          <w:cantSplit/>
        </w:trP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Inventory</w:t>
            </w:r>
          </w:p>
        </w:tc>
        <w:tc>
          <w:tcPr>
            <w:tcW w:type="dxa" w:w="6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Borrowed Items (stock is deducted while an event is active, restored when archived)</w:t>
            </w:r>
          </w:p>
        </w:tc>
      </w:tr>
      <w:tr>
        <w:trPr>
          <w:cantSplit/>
        </w:trPr>
        <w:tc>
          <w:tcPr>
            <w:tcW w:type="dxa" w:w="32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Every module above</w:t>
            </w:r>
          </w:p>
        </w:tc>
        <w:tc>
          <w:tcPr>
            <w:tcW w:type="dxa" w:w="60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Activity Log (a permanent, time-ordered record of every action taken)</w:t>
            </w:r>
          </w:p>
        </w:tc>
      </w:tr>
    </w:tbl>
    <w:p>
      <w:pPr>
        <w:pageBreakBefore/>
      </w:pPr>
    </w:p>
    <w:p>
      <w:pPr>
        <w:pStyle w:val="Heading1"/>
        <w:pBdr>
          <w:bottom w:val="single" w:color="005F63" w:sz="12"/>
        </w:pBdr>
        <w:spacing w:after="200" w:before="420"/>
      </w:pPr>
      <w:r>
        <w:rPr>
          <w:rFonts w:ascii="Calibri" w:cs="Calibri" w:eastAsia="Calibri" w:hAnsi="Calibri"/>
          <w:b/>
          <w:bCs/>
          <w:color w:val="005F63"/>
          <w:sz w:val="30"/>
          <w:szCs w:val="30"/>
        </w:rPr>
        <w:t xml:space="preserve">Appendix -- Quick Reference: Seeded Data Counts</w:t>
      </w:r>
    </w:p>
    <w:tbl>
      <w:tblPr>
        <w:tblW w:type="dxa" w:w="9200"/>
        <w:tblBorders>
          <w:top w:val="single" w:color="CFC9BC" w:sz="4"/>
          <w:left w:val="single" w:color="CFC9BC" w:sz="4"/>
          <w:bottom w:val="single" w:color="CFC9BC" w:sz="4"/>
          <w:right w:val="single" w:color="CFC9BC" w:sz="4"/>
          <w:insideH w:val="single" w:color="CFC9BC" w:sz="4"/>
          <w:insideV w:val="single" w:color="CFC9BC" w:sz="4"/>
        </w:tblBorders>
      </w:tblPr>
      <w:tblGrid>
        <w:gridCol w:w="4600"/>
        <w:gridCol w:w="4600"/>
      </w:tblGrid>
      <w:tr>
        <w:trPr>
          <w:cantSplit/>
          <w:tblHeader/>
        </w:trPr>
        <w:tc>
          <w:tcPr>
            <w:tcW w:type="dxa" w:w="46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Item</w:t>
            </w:r>
          </w:p>
        </w:tc>
        <w:tc>
          <w:tcPr>
            <w:tcW w:type="dxa" w:w="4600"/>
            <w:shd w:fill="005F63"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Count</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Age Groups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  (Child, Youth, Adult, Senior Citizen)</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Civil / Current Statuses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5  (Single, Married, Widowed, Separated, Solo Parent)</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Staff Accounts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Resident Accounts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Households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  (8 residents) + 2 on the legacy text-only format</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Membership Programs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10  (2 with automatic eligibility rules)</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Program Enrollments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23</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Events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32  (every event has an approved budget)</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Inventory Items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35</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Borrowed-Item Records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46, across 18 events</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Events With Recorded Expenses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26  (3 intentionally run over budget)</w:t>
            </w:r>
          </w:p>
        </w:tc>
      </w:tr>
      <w:tr>
        <w:trPr>
          <w:cantSplit/>
        </w:trPr>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Feedback Entries</w:t>
            </w:r>
          </w:p>
        </w:tc>
        <w:tc>
          <w:tcPr>
            <w:tcW w:type="dxa" w:w="4600"/>
            <w:shd w:fill="F4F2EE"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1 per resident who actually signed in to an event</w:t>
            </w:r>
          </w:p>
        </w:tc>
      </w:tr>
      <w:tr>
        <w:trPr>
          <w:cantSplit/>
        </w:trP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Activity Log Entries</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19"/>
                <w:szCs w:val="19"/>
              </w:rPr>
              <w:t xml:space="preserve">Hundreds, spanning every module above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BC" w:sz="4"/>
      </w:pBdr>
      <w:spacing w:after="120"/>
      <w:jc w:val="right"/>
    </w:pPr>
    <w:r>
      <w:rPr>
        <w:rFonts w:ascii="Calibri" w:cs="Calibri" w:eastAsia="Calibri" w:hAnsi="Calibri"/>
        <w:color w:val="999999"/>
        <w:sz w:val="15"/>
        <w:szCs w:val="15"/>
      </w:rPr>
      <w:t xml:space="preserve">PiaoConnect — System Guide &amp; Recent Feature Updates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2026-09-04T02:12:38.444Z</dcterms:created>
  <dcterms:modified xsi:type="dcterms:W3CDTF">2026-09-04T02:12:38.445Z</dcterms:modified>
</cp:coreProperties>
</file>

<file path=docProps/custom.xml><?xml version="1.0" encoding="utf-8"?>
<Properties xmlns="http://schemas.openxmlformats.org/officeDocument/2006/custom-properties" xmlns:vt="http://schemas.openxmlformats.org/officeDocument/2006/docPropsVTypes"/>
</file>