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555FFE" w14:textId="77777777" w:rsidR="005A7075" w:rsidRDefault="005A7075" w:rsidP="005A7075">
      <w:pPr>
        <w:pStyle w:val="Heading1"/>
        <w:rPr>
          <w:rFonts w:ascii="Arial" w:eastAsia="Arial" w:hAnsi="Arial" w:cs="Arial"/>
          <w:b/>
          <w:bCs/>
          <w:color w:val="0D1F3C"/>
          <w:sz w:val="32"/>
          <w:szCs w:val="32"/>
        </w:rPr>
      </w:pPr>
      <w:bookmarkStart w:id="0" w:name="_Toc226532608"/>
      <w:r>
        <w:rPr>
          <w:rFonts w:ascii="Arial" w:eastAsia="Arial" w:hAnsi="Arial" w:cs="Arial"/>
          <w:b/>
          <w:bCs/>
          <w:color w:val="0D1F3C"/>
          <w:sz w:val="32"/>
          <w:szCs w:val="32"/>
        </w:rPr>
        <w:t>2. Problem Statement</w:t>
      </w:r>
      <w:bookmarkEnd w:id="0"/>
    </w:p>
    <w:p w14:paraId="3666606C" w14:textId="77777777" w:rsidR="005A7075" w:rsidRPr="005A7075" w:rsidRDefault="005A7075" w:rsidP="005A7075"/>
    <w:p w14:paraId="09509E92" w14:textId="77777777" w:rsidR="005A7075" w:rsidRDefault="005A7075" w:rsidP="005A7075">
      <w:pPr>
        <w:pStyle w:val="Heading2"/>
        <w:rPr>
          <w:rFonts w:ascii="Arial" w:eastAsia="Arial" w:hAnsi="Arial" w:cs="Arial"/>
          <w:b/>
          <w:bCs/>
          <w:color w:val="0070E0"/>
          <w:sz w:val="26"/>
          <w:szCs w:val="26"/>
        </w:rPr>
      </w:pPr>
      <w:bookmarkStart w:id="1" w:name="_Toc226532609"/>
      <w:r>
        <w:rPr>
          <w:rFonts w:ascii="Arial" w:eastAsia="Arial" w:hAnsi="Arial" w:cs="Arial"/>
          <w:b/>
          <w:bCs/>
          <w:color w:val="0070E0"/>
          <w:sz w:val="26"/>
          <w:szCs w:val="26"/>
        </w:rPr>
        <w:t>2.1 Problem Overview</w:t>
      </w:r>
      <w:bookmarkEnd w:id="1"/>
    </w:p>
    <w:p w14:paraId="2EFCB208" w14:textId="77777777" w:rsidR="005A7075" w:rsidRPr="005A7075" w:rsidRDefault="005A7075" w:rsidP="005A7075"/>
    <w:p w14:paraId="74DFEDED" w14:textId="77777777" w:rsidR="005A7075" w:rsidRDefault="005A7075" w:rsidP="005A7075">
      <w:pPr>
        <w:spacing w:before="80" w:after="80"/>
        <w:jc w:val="both"/>
        <w:rPr>
          <w:color w:val="1A202C"/>
        </w:rPr>
      </w:pPr>
      <w:r>
        <w:rPr>
          <w:color w:val="1A202C"/>
        </w:rPr>
        <w:t xml:space="preserve">Hotel Chain A, operated under the John </w:t>
      </w:r>
      <w:proofErr w:type="spellStart"/>
      <w:r>
        <w:rPr>
          <w:color w:val="1A202C"/>
        </w:rPr>
        <w:t>Keells</w:t>
      </w:r>
      <w:proofErr w:type="spellEnd"/>
      <w:r>
        <w:rPr>
          <w:color w:val="1A202C"/>
        </w:rPr>
        <w:t xml:space="preserve"> Group (OCTAVE), faces a significant and persistent challenge with booking cancellations and no-shows across its portfolio of resort, city, and airport properties. These events represent both a direct revenue loss and an operational inefficiency, as rooms remain unsold after the window for re-booking has passed.</w:t>
      </w:r>
    </w:p>
    <w:p w14:paraId="4708AD1E" w14:textId="77777777" w:rsidR="005A7075" w:rsidRDefault="005A7075" w:rsidP="005A7075">
      <w:pPr>
        <w:spacing w:before="80" w:after="80"/>
        <w:jc w:val="both"/>
      </w:pPr>
    </w:p>
    <w:p w14:paraId="4DB7815A" w14:textId="77777777" w:rsidR="005A7075" w:rsidRDefault="005A7075" w:rsidP="005A7075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A7075" w14:paraId="21E1D0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3EA3509" w14:textId="77777777" w:rsidR="005A7075" w:rsidRDefault="005A7075" w:rsidP="00664928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$8.63M</w:t>
            </w:r>
          </w:p>
          <w:p w14:paraId="1B015DDC" w14:textId="77777777" w:rsidR="005A7075" w:rsidRDefault="005A7075" w:rsidP="00664928">
            <w:pPr>
              <w:jc w:val="center"/>
            </w:pPr>
            <w:r>
              <w:rPr>
                <w:color w:val="00AAFF"/>
                <w:sz w:val="18"/>
                <w:szCs w:val="18"/>
              </w:rPr>
              <w:t>Total Potential Revenue</w:t>
            </w:r>
          </w:p>
          <w:p w14:paraId="1E7A6E42" w14:textId="77777777" w:rsidR="005A7075" w:rsidRDefault="005A7075" w:rsidP="00664928">
            <w:pPr>
              <w:jc w:val="center"/>
            </w:pPr>
            <w:r>
              <w:rPr>
                <w:color w:val="AACCFF"/>
                <w:sz w:val="16"/>
                <w:szCs w:val="16"/>
              </w:rPr>
              <w:t>2015–2017 dataset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9E48954" w14:textId="77777777" w:rsidR="005A7075" w:rsidRDefault="005A7075" w:rsidP="00664928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$1.98M</w:t>
            </w:r>
          </w:p>
          <w:p w14:paraId="2F7553ED" w14:textId="77777777" w:rsidR="005A7075" w:rsidRDefault="005A7075" w:rsidP="00664928">
            <w:pPr>
              <w:jc w:val="center"/>
            </w:pPr>
            <w:r>
              <w:rPr>
                <w:color w:val="00AAFF"/>
                <w:sz w:val="18"/>
                <w:szCs w:val="18"/>
              </w:rPr>
              <w:t>Revenue at Risk</w:t>
            </w:r>
          </w:p>
          <w:p w14:paraId="432180F7" w14:textId="77777777" w:rsidR="005A7075" w:rsidRDefault="005A7075" w:rsidP="00664928">
            <w:pPr>
              <w:jc w:val="center"/>
            </w:pPr>
            <w:r>
              <w:rPr>
                <w:color w:val="AACCFF"/>
                <w:sz w:val="16"/>
                <w:szCs w:val="16"/>
              </w:rPr>
              <w:t>23% of total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3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75D63B6" w14:textId="77777777" w:rsidR="005A7075" w:rsidRDefault="005A7075" w:rsidP="00664928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$6.65M</w:t>
            </w:r>
          </w:p>
          <w:p w14:paraId="54C7311B" w14:textId="77777777" w:rsidR="005A7075" w:rsidRDefault="005A7075" w:rsidP="00664928">
            <w:pPr>
              <w:jc w:val="center"/>
            </w:pPr>
            <w:r>
              <w:rPr>
                <w:color w:val="00AAFF"/>
                <w:sz w:val="18"/>
                <w:szCs w:val="18"/>
              </w:rPr>
              <w:t>Revenue Earned</w:t>
            </w:r>
          </w:p>
          <w:p w14:paraId="78B3B98A" w14:textId="77777777" w:rsidR="005A7075" w:rsidRDefault="005A7075" w:rsidP="00664928">
            <w:pPr>
              <w:jc w:val="center"/>
            </w:pPr>
            <w:r>
              <w:rPr>
                <w:color w:val="AACCFF"/>
                <w:sz w:val="16"/>
                <w:szCs w:val="16"/>
              </w:rPr>
              <w:t xml:space="preserve">77% </w:t>
            </w:r>
            <w:proofErr w:type="spellStart"/>
            <w:r>
              <w:rPr>
                <w:color w:val="AACCFF"/>
                <w:sz w:val="16"/>
                <w:szCs w:val="16"/>
              </w:rPr>
              <w:t>realised</w:t>
            </w:r>
            <w:proofErr w:type="spellEnd"/>
          </w:p>
        </w:tc>
      </w:tr>
    </w:tbl>
    <w:p w14:paraId="6EF86D4C" w14:textId="77777777" w:rsidR="005A7075" w:rsidRDefault="005A7075" w:rsidP="005A7075">
      <w:pPr>
        <w:spacing w:before="120"/>
      </w:pPr>
    </w:p>
    <w:p w14:paraId="4B85FB3D" w14:textId="77777777" w:rsidR="005A7075" w:rsidRDefault="005A7075" w:rsidP="005A7075">
      <w:pPr>
        <w:pStyle w:val="Heading2"/>
        <w:rPr>
          <w:rFonts w:ascii="Arial" w:eastAsia="Arial" w:hAnsi="Arial" w:cs="Arial"/>
          <w:b/>
          <w:bCs/>
          <w:color w:val="0070E0"/>
          <w:sz w:val="26"/>
          <w:szCs w:val="26"/>
        </w:rPr>
      </w:pPr>
      <w:bookmarkStart w:id="2" w:name="_Toc226532610"/>
      <w:r>
        <w:rPr>
          <w:rFonts w:ascii="Arial" w:eastAsia="Arial" w:hAnsi="Arial" w:cs="Arial"/>
          <w:b/>
          <w:bCs/>
          <w:color w:val="0070E0"/>
          <w:sz w:val="26"/>
          <w:szCs w:val="26"/>
        </w:rPr>
        <w:t>2.2 Scale and Financial Impact</w:t>
      </w:r>
      <w:bookmarkEnd w:id="2"/>
    </w:p>
    <w:p w14:paraId="4639B85F" w14:textId="77777777" w:rsidR="005A7075" w:rsidRPr="005A7075" w:rsidRDefault="005A7075" w:rsidP="005A7075"/>
    <w:p w14:paraId="6E042C19" w14:textId="77777777" w:rsidR="005A7075" w:rsidRDefault="005A7075" w:rsidP="005A7075">
      <w:pPr>
        <w:spacing w:before="80" w:after="80"/>
        <w:jc w:val="both"/>
      </w:pPr>
      <w:r>
        <w:rPr>
          <w:color w:val="1A202C"/>
        </w:rPr>
        <w:t>Analysis of 22,697 booking records from 2015–2017 reveals that Hotel Chain A lost approximately $1.98 million in potential revenue to cancellations and no-shows, representing 23% of total potential earnings of $8.63 million. The South region carries the highest absolute revenue loss at $780K, and the 18–29 age bracket represents the largest at-risk customer segment.</w:t>
      </w:r>
    </w:p>
    <w:p w14:paraId="311CAC3A" w14:textId="77777777" w:rsidR="005A7075" w:rsidRDefault="005A7075" w:rsidP="005A7075">
      <w:pPr>
        <w:spacing w:before="60"/>
      </w:pPr>
    </w:p>
    <w:p w14:paraId="3407EB56" w14:textId="77777777" w:rsidR="005A7075" w:rsidRDefault="005A7075" w:rsidP="005A7075">
      <w:pPr>
        <w:spacing w:before="80" w:after="80"/>
        <w:jc w:val="both"/>
        <w:rPr>
          <w:color w:val="1A202C"/>
        </w:rPr>
      </w:pPr>
      <w:r>
        <w:rPr>
          <w:color w:val="1A202C"/>
        </w:rPr>
        <w:t>Extrapolated across the full hotel estate, the estimated annual impact exceeds $20 million — a figure that dwarfs the investment required to deploy a predictive machine learning solution.</w:t>
      </w:r>
    </w:p>
    <w:p w14:paraId="02D7536E" w14:textId="77777777" w:rsidR="005A7075" w:rsidRDefault="005A7075" w:rsidP="005A7075">
      <w:pPr>
        <w:spacing w:before="80" w:after="80"/>
        <w:jc w:val="both"/>
      </w:pPr>
    </w:p>
    <w:p w14:paraId="2EDC19E9" w14:textId="19A85338" w:rsidR="005A7075" w:rsidRDefault="005A7075" w:rsidP="005A7075">
      <w:pPr>
        <w:pStyle w:val="Heading2"/>
        <w:tabs>
          <w:tab w:val="left" w:pos="6560"/>
        </w:tabs>
        <w:rPr>
          <w:rFonts w:ascii="Arial" w:eastAsia="Arial" w:hAnsi="Arial" w:cs="Arial"/>
          <w:b/>
          <w:bCs/>
          <w:color w:val="0070E0"/>
          <w:sz w:val="26"/>
          <w:szCs w:val="26"/>
        </w:rPr>
      </w:pPr>
      <w:bookmarkStart w:id="3" w:name="_Toc226532611"/>
      <w:r>
        <w:rPr>
          <w:rFonts w:ascii="Arial" w:eastAsia="Arial" w:hAnsi="Arial" w:cs="Arial"/>
          <w:b/>
          <w:bCs/>
          <w:color w:val="0070E0"/>
          <w:sz w:val="26"/>
          <w:szCs w:val="26"/>
        </w:rPr>
        <w:t>2.3 Key Problem Drivers</w:t>
      </w:r>
      <w:bookmarkEnd w:id="3"/>
      <w:r>
        <w:rPr>
          <w:rFonts w:ascii="Arial" w:eastAsia="Arial" w:hAnsi="Arial" w:cs="Arial"/>
          <w:b/>
          <w:bCs/>
          <w:color w:val="0070E0"/>
          <w:sz w:val="26"/>
          <w:szCs w:val="26"/>
        </w:rPr>
        <w:tab/>
      </w:r>
    </w:p>
    <w:p w14:paraId="6A8D6883" w14:textId="77777777" w:rsidR="005A7075" w:rsidRPr="005A7075" w:rsidRDefault="005A7075" w:rsidP="005A7075"/>
    <w:p w14:paraId="4CDAC70D" w14:textId="77777777" w:rsidR="005A7075" w:rsidRDefault="005A7075" w:rsidP="005A7075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1A202C"/>
        </w:rPr>
        <w:t>High OTA dependency: 47.27% of Sri Lankan bookings made via OTAs, which carry 42% cancellation rates vs 18% for direct bookings.</w:t>
      </w:r>
    </w:p>
    <w:p w14:paraId="00131B89" w14:textId="77777777" w:rsidR="005A7075" w:rsidRDefault="005A7075" w:rsidP="005A7075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1A202C"/>
        </w:rPr>
        <w:t>Long lead times: Bookings made more than 60 days in advance are 65% more likely to cancel.</w:t>
      </w:r>
    </w:p>
    <w:p w14:paraId="78141A21" w14:textId="77777777" w:rsidR="005A7075" w:rsidRDefault="005A7075" w:rsidP="005A7075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1A202C"/>
        </w:rPr>
        <w:t>No-deposit bookings: Guests with no financial stake face zero friction when cancelling.</w:t>
      </w:r>
    </w:p>
    <w:p w14:paraId="363B4925" w14:textId="77777777" w:rsidR="005A7075" w:rsidRDefault="005A7075" w:rsidP="005A7075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1A202C"/>
        </w:rPr>
        <w:t>Limited predictive capability: No existing ML model deployed at Hotel Chain A to identify and intervene on at-risk bookings.</w:t>
      </w:r>
    </w:p>
    <w:p w14:paraId="1B71D9F3" w14:textId="77777777" w:rsidR="005A7075" w:rsidRPr="005A7075" w:rsidRDefault="005A7075" w:rsidP="005A7075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1A202C"/>
        </w:rPr>
        <w:t>Reactive operations: Current approach to overbooking and inventory management is based on historical averages, not real-time risk scores.</w:t>
      </w:r>
    </w:p>
    <w:p w14:paraId="621478F9" w14:textId="77777777" w:rsidR="005A7075" w:rsidRDefault="005A7075" w:rsidP="005A7075">
      <w:pPr>
        <w:spacing w:before="60" w:after="60"/>
        <w:ind w:left="360"/>
      </w:pPr>
    </w:p>
    <w:p w14:paraId="515F35F3" w14:textId="77777777" w:rsidR="005A7075" w:rsidRDefault="005A7075" w:rsidP="005A7075">
      <w:pPr>
        <w:spacing w:before="60" w:after="60"/>
        <w:ind w:left="360"/>
      </w:pPr>
    </w:p>
    <w:p w14:paraId="79C2FA05" w14:textId="77777777" w:rsidR="005A7075" w:rsidRDefault="005A7075" w:rsidP="005A7075">
      <w:pPr>
        <w:pStyle w:val="Heading2"/>
        <w:rPr>
          <w:rFonts w:ascii="Arial" w:eastAsia="Arial" w:hAnsi="Arial" w:cs="Arial"/>
          <w:b/>
          <w:bCs/>
          <w:color w:val="0070E0"/>
          <w:sz w:val="26"/>
          <w:szCs w:val="26"/>
        </w:rPr>
      </w:pPr>
      <w:bookmarkStart w:id="4" w:name="_Toc226532612"/>
      <w:r>
        <w:rPr>
          <w:rFonts w:ascii="Arial" w:eastAsia="Arial" w:hAnsi="Arial" w:cs="Arial"/>
          <w:b/>
          <w:bCs/>
          <w:color w:val="0070E0"/>
          <w:sz w:val="26"/>
          <w:szCs w:val="26"/>
        </w:rPr>
        <w:lastRenderedPageBreak/>
        <w:t>2.4 Research Questions</w:t>
      </w:r>
      <w:bookmarkEnd w:id="4"/>
    </w:p>
    <w:p w14:paraId="74F6BFB3" w14:textId="77777777" w:rsidR="005A7075" w:rsidRPr="005A7075" w:rsidRDefault="005A7075" w:rsidP="005A7075"/>
    <w:p w14:paraId="47FE7B3E" w14:textId="77777777" w:rsidR="005A7075" w:rsidRDefault="005A7075" w:rsidP="005A7075">
      <w:pPr>
        <w:spacing w:before="80" w:after="80"/>
        <w:jc w:val="both"/>
      </w:pPr>
      <w:r>
        <w:rPr>
          <w:color w:val="1A202C"/>
        </w:rPr>
        <w:t>This project addresses the following core questions:</w:t>
      </w:r>
    </w:p>
    <w:p w14:paraId="08CAC2E2" w14:textId="77777777" w:rsidR="005A7075" w:rsidRDefault="005A7075" w:rsidP="005A7075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1A202C"/>
        </w:rPr>
        <w:t>Can machine learning accurately predict which bookings will result in cancellations or no-shows before check-in?</w:t>
      </w:r>
    </w:p>
    <w:p w14:paraId="65A304E8" w14:textId="77777777" w:rsidR="005A7075" w:rsidRDefault="005A7075" w:rsidP="005A7075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1A202C"/>
        </w:rPr>
        <w:t>Which guest and booking attributes are the strongest predictors of cancellation risk?</w:t>
      </w:r>
    </w:p>
    <w:p w14:paraId="3A0029F3" w14:textId="77777777" w:rsidR="005A7075" w:rsidRDefault="005A7075" w:rsidP="005A7075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1A202C"/>
        </w:rPr>
        <w:t>What operational interventions, informed by risk scores, can reduce revenue loss most effectively?</w:t>
      </w:r>
    </w:p>
    <w:p w14:paraId="5C8485BA" w14:textId="2DC14566" w:rsidR="00BE4297" w:rsidRDefault="005A7075" w:rsidP="005A7075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rPr>
          <w:color w:val="1A202C"/>
        </w:rPr>
        <w:t>How does a gradient boosting approach compare to a decision tree baseline for this classification problem?</w:t>
      </w:r>
    </w:p>
    <w:sectPr w:rsidR="00BE4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D66DBD"/>
    <w:multiLevelType w:val="hybridMultilevel"/>
    <w:tmpl w:val="9934E452"/>
    <w:lvl w:ilvl="0" w:tplc="9E281662">
      <w:start w:val="1"/>
      <w:numFmt w:val="bullet"/>
      <w:lvlText w:val="•"/>
      <w:lvlJc w:val="left"/>
      <w:pPr>
        <w:ind w:left="720" w:hanging="360"/>
      </w:pPr>
    </w:lvl>
    <w:lvl w:ilvl="1" w:tplc="150A8F48">
      <w:numFmt w:val="decimal"/>
      <w:lvlText w:val=""/>
      <w:lvlJc w:val="left"/>
    </w:lvl>
    <w:lvl w:ilvl="2" w:tplc="57663578">
      <w:numFmt w:val="decimal"/>
      <w:lvlText w:val=""/>
      <w:lvlJc w:val="left"/>
    </w:lvl>
    <w:lvl w:ilvl="3" w:tplc="9E129FC2">
      <w:numFmt w:val="decimal"/>
      <w:lvlText w:val=""/>
      <w:lvlJc w:val="left"/>
    </w:lvl>
    <w:lvl w:ilvl="4" w:tplc="66A4156E">
      <w:numFmt w:val="decimal"/>
      <w:lvlText w:val=""/>
      <w:lvlJc w:val="left"/>
    </w:lvl>
    <w:lvl w:ilvl="5" w:tplc="97E6C5D2">
      <w:numFmt w:val="decimal"/>
      <w:lvlText w:val=""/>
      <w:lvlJc w:val="left"/>
    </w:lvl>
    <w:lvl w:ilvl="6" w:tplc="95181F32">
      <w:numFmt w:val="decimal"/>
      <w:lvlText w:val=""/>
      <w:lvlJc w:val="left"/>
    </w:lvl>
    <w:lvl w:ilvl="7" w:tplc="3112D28C">
      <w:numFmt w:val="decimal"/>
      <w:lvlText w:val=""/>
      <w:lvlJc w:val="left"/>
    </w:lvl>
    <w:lvl w:ilvl="8" w:tplc="EA0EABCA">
      <w:numFmt w:val="decimal"/>
      <w:lvlText w:val=""/>
      <w:lvlJc w:val="left"/>
    </w:lvl>
  </w:abstractNum>
  <w:num w:numId="1" w16cid:durableId="42296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75"/>
    <w:rsid w:val="005A7075"/>
    <w:rsid w:val="00AB5EE2"/>
    <w:rsid w:val="00BE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90089"/>
  <w15:chartTrackingRefBased/>
  <w15:docId w15:val="{0E635ED9-86B5-4481-83C4-7651D75AE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075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7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7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A7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Dinithi 20240390</dc:creator>
  <cp:keywords/>
  <dc:description/>
  <cp:lastModifiedBy>Dinithi 20240390</cp:lastModifiedBy>
  <cp:revision>1</cp:revision>
  <dcterms:created xsi:type="dcterms:W3CDTF">2026-04-08T04:42:00Z</dcterms:created>
  <dcterms:modified xsi:type="dcterms:W3CDTF">2026-04-08T04:43:00Z</dcterms:modified>
</cp:coreProperties>
</file>