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7AFF"/>
        </w:rPr>
        <w:t>CCL English Assessment Platform</w:t>
      </w:r>
    </w:p>
    <w:p>
      <w:pPr>
        <w:jc w:val="center"/>
      </w:pPr>
      <w:r>
        <w:rPr>
          <w:i/>
          <w:sz w:val="28"/>
        </w:rPr>
        <w:t>Executive Summary for Stakeholders</w:t>
      </w:r>
    </w:p>
    <w:p/>
    <w:p>
      <w:pPr>
        <w:pStyle w:val="Heading1"/>
      </w:pPr>
      <w:r>
        <w:rPr>
          <w:b/>
          <w:color w:val="007AFF"/>
        </w:rPr>
        <w:t>Project Overview</w:t>
      </w:r>
    </w:p>
    <w:p>
      <w:r>
        <w:rPr>
          <w:b/>
          <w:color w:val="FF3B30"/>
        </w:rPr>
        <w:t xml:space="preserve">Platform Name: </w:t>
      </w:r>
      <w:r>
        <w:rPr>
          <w:b w:val="0"/>
          <w:color w:val="000000"/>
        </w:rPr>
        <w:t>CCL English Assessment Platform</w:t>
      </w:r>
    </w:p>
    <w:p>
      <w:r>
        <w:rPr>
          <w:b/>
          <w:color w:val="FF3B30"/>
        </w:rPr>
        <w:t xml:space="preserve">Purpose: </w:t>
      </w:r>
      <w:r>
        <w:rPr>
          <w:b w:val="0"/>
          <w:color w:val="000000"/>
        </w:rPr>
        <w:t>AI-powered English proficiency evaluation for cruise ship employees</w:t>
      </w:r>
    </w:p>
    <w:p>
      <w:r>
        <w:rPr>
          <w:b/>
          <w:color w:val="FF3B30"/>
        </w:rPr>
        <w:t xml:space="preserve">Target Users: </w:t>
      </w:r>
      <w:r>
        <w:rPr>
          <w:b w:val="0"/>
          <w:color w:val="000000"/>
        </w:rPr>
        <w:t>Prospective employees across Hotel, Marine, and Casino operations</w:t>
      </w:r>
    </w:p>
    <w:p>
      <w:r>
        <w:rPr>
          <w:b/>
          <w:color w:val="FF3B30"/>
        </w:rPr>
        <w:t xml:space="preserve">Status: </w:t>
      </w:r>
      <w:r>
        <w:rPr>
          <w:b w:val="0"/>
          <w:color w:val="000000"/>
        </w:rPr>
        <w:t>Fully Functional &amp; Production-Ready</w:t>
      </w:r>
    </w:p>
    <w:p/>
    <w:p>
      <w:pPr>
        <w:pStyle w:val="Heading1"/>
      </w:pPr>
      <w:r>
        <w:rPr>
          <w:b/>
          <w:color w:val="007AFF"/>
        </w:rPr>
        <w:t>Operations and Departments Structure</w:t>
      </w:r>
    </w:p>
    <w:p>
      <w:r>
        <w:rPr>
          <w:b w:val="0"/>
          <w:color w:val="000000"/>
        </w:rPr>
        <w:t>The platform supports three operational divisions with department-specific scenarios: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AFF"/>
          </w:tcPr>
          <w:p>
            <w:r>
              <w:rPr>
                <w:b/>
                <w:color w:val="FFFFFF"/>
                <w:sz w:val="22"/>
              </w:rPr>
              <w:t>Operation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  <w:sz w:val="22"/>
              </w:rPr>
              <w:t>Department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  <w:sz w:val="22"/>
              </w:rPr>
              <w:t>Scenarios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  <w:sz w:val="22"/>
              </w:rPr>
              <w:t>Questions in Bank</w:t>
            </w:r>
          </w:p>
        </w:tc>
      </w:tr>
      <w:tr>
        <w:tc>
          <w:tcPr>
            <w:tcW w:type="dxa" w:w="2160"/>
            <w:shd w:fill="FFE5B4"/>
          </w:tcPr>
          <w:p>
            <w:r>
              <w:rPr>
                <w:b/>
              </w:rPr>
              <w:t>HOTEL OPERATIONS</w:t>
            </w:r>
          </w:p>
        </w:tc>
        <w:tc>
          <w:tcPr>
            <w:tcW w:type="dxa" w:w="2160"/>
          </w:tcPr>
          <w:p>
            <w:r>
              <w:t>AUX SERV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BEVERAGE GUEST SERV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CULINARY ARTS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GUEST SERVICES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HOUSEKEEPING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LAUNDRY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PROVISIONS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REST. SERVICE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SHORE EXCURS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  <w:shd w:fill="B4D7FF"/>
          </w:tcPr>
          <w:p>
            <w:r>
              <w:rPr>
                <w:b/>
              </w:rPr>
              <w:t>MARINE OPERATIONS</w:t>
            </w:r>
          </w:p>
        </w:tc>
        <w:tc>
          <w:tcPr>
            <w:tcW w:type="dxa" w:w="2160"/>
          </w:tcPr>
          <w:p>
            <w:r>
              <w:t>Deck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Engine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Security Services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  <w:shd w:fill="FFB4B4"/>
          </w:tcPr>
          <w:p>
            <w:r>
              <w:rPr>
                <w:b/>
              </w:rPr>
              <w:t>CASINO OPERATIONS</w:t>
            </w:r>
          </w:p>
        </w:tc>
        <w:tc>
          <w:tcPr>
            <w:tcW w:type="dxa" w:w="2160"/>
          </w:tcPr>
          <w:p>
            <w:r>
              <w:t>Table Games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Slot Machines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Casino Services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/>
    <w:p>
      <w:r>
        <w:rPr>
          <w:b/>
          <w:color w:val="000000"/>
        </w:rPr>
        <w:t xml:space="preserve">Total Coverage: </w:t>
      </w:r>
      <w:r>
        <w:rPr>
          <w:b/>
          <w:color w:val="34C759"/>
        </w:rPr>
        <w:t>3 Operations | 16 Departments | 48 Scenarios | 21 Questions per Assessment</w:t>
      </w:r>
    </w:p>
    <w:p/>
    <w:p>
      <w:pPr>
        <w:pStyle w:val="Heading1"/>
      </w:pPr>
      <w:r>
        <w:rPr>
          <w:b/>
          <w:color w:val="007AFF"/>
        </w:rPr>
        <w:t>Assessment Modules Breakdown</w:t>
      </w:r>
    </w:p>
    <w:p>
      <w:r>
        <w:rPr>
          <w:b w:val="0"/>
          <w:color w:val="000000"/>
        </w:rPr>
        <w:t>The assessment consists of 6 comprehensive modules totaling 100 points across 21 questions: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Module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Questions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Points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t>1. Listening</w:t>
            </w:r>
          </w:p>
        </w:tc>
        <w:tc>
          <w:tcPr>
            <w:tcW w:type="dxa" w:w="1728"/>
          </w:tcPr>
          <w:p>
            <w:r>
              <w:t>3 (Q1-Q3)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Audio MC</w:t>
            </w:r>
          </w:p>
        </w:tc>
        <w:tc>
          <w:tcPr>
            <w:tcW w:type="dxa" w:w="1728"/>
          </w:tcPr>
          <w:p>
            <w:r>
              <w:t>AI-generated realistic cruise scenarios</w:t>
            </w:r>
          </w:p>
        </w:tc>
      </w:tr>
      <w:tr>
        <w:tc>
          <w:tcPr>
            <w:tcW w:type="dxa" w:w="1728"/>
          </w:tcPr>
          <w:p>
            <w:r>
              <w:t>2. Time &amp; Numbers</w:t>
            </w:r>
          </w:p>
        </w:tc>
        <w:tc>
          <w:tcPr>
            <w:tcW w:type="dxa" w:w="1728"/>
          </w:tcPr>
          <w:p>
            <w:r>
              <w:t>3 (Q4-Q6)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Fill-in</w:t>
            </w:r>
          </w:p>
        </w:tc>
        <w:tc>
          <w:tcPr>
            <w:tcW w:type="dxa" w:w="1728"/>
          </w:tcPr>
          <w:p>
            <w:r>
              <w:t>Critical for safety and operations</w:t>
            </w:r>
          </w:p>
        </w:tc>
      </w:tr>
      <w:tr>
        <w:tc>
          <w:tcPr>
            <w:tcW w:type="dxa" w:w="1728"/>
          </w:tcPr>
          <w:p>
            <w:r>
              <w:t>3. Grammar</w:t>
            </w:r>
          </w:p>
        </w:tc>
        <w:tc>
          <w:tcPr>
            <w:tcW w:type="dxa" w:w="1728"/>
          </w:tcPr>
          <w:p>
            <w:r>
              <w:t>4 (Q7-Q10)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Multiple Choice</w:t>
            </w:r>
          </w:p>
        </w:tc>
        <w:tc>
          <w:tcPr>
            <w:tcW w:type="dxa" w:w="1728"/>
          </w:tcPr>
          <w:p>
            <w:r>
              <w:t>Professional communication standards</w:t>
            </w:r>
          </w:p>
        </w:tc>
      </w:tr>
      <w:tr>
        <w:tc>
          <w:tcPr>
            <w:tcW w:type="dxa" w:w="1728"/>
          </w:tcPr>
          <w:p>
            <w:r>
              <w:t>4. Vocabulary</w:t>
            </w:r>
          </w:p>
        </w:tc>
        <w:tc>
          <w:tcPr>
            <w:tcW w:type="dxa" w:w="1728"/>
          </w:tcPr>
          <w:p>
            <w:r>
              <w:t>4 (Q11-Q14)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Drag &amp; Drop</w:t>
            </w:r>
          </w:p>
        </w:tc>
        <w:tc>
          <w:tcPr>
            <w:tcW w:type="dxa" w:w="1728"/>
          </w:tcPr>
          <w:p>
            <w:r>
              <w:t>Industry-specific terminology</w:t>
            </w:r>
          </w:p>
        </w:tc>
      </w:tr>
      <w:tr>
        <w:tc>
          <w:tcPr>
            <w:tcW w:type="dxa" w:w="1728"/>
          </w:tcPr>
          <w:p>
            <w:r>
              <w:t>5. Reading</w:t>
            </w:r>
          </w:p>
        </w:tc>
        <w:tc>
          <w:tcPr>
            <w:tcW w:type="dxa" w:w="1728"/>
          </w:tcPr>
          <w:p>
            <w:r>
              <w:t>4 (Q15-Q18)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Comprehension</w:t>
            </w:r>
          </w:p>
        </w:tc>
        <w:tc>
          <w:tcPr>
            <w:tcW w:type="dxa" w:w="1728"/>
          </w:tcPr>
          <w:p>
            <w:r>
              <w:t>Policy and procedure understanding</w:t>
            </w:r>
          </w:p>
        </w:tc>
      </w:tr>
      <w:tr>
        <w:tc>
          <w:tcPr>
            <w:tcW w:type="dxa" w:w="1728"/>
          </w:tcPr>
          <w:p>
            <w:r>
              <w:t>6. Speaking</w:t>
            </w:r>
          </w:p>
        </w:tc>
        <w:tc>
          <w:tcPr>
            <w:tcW w:type="dxa" w:w="1728"/>
          </w:tcPr>
          <w:p>
            <w:r>
              <w:t>3 (Q19-Q21)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Voice Record</w:t>
            </w:r>
          </w:p>
        </w:tc>
        <w:tc>
          <w:tcPr>
            <w:tcW w:type="dxa" w:w="1728"/>
          </w:tcPr>
          <w:p>
            <w:r>
              <w:t>AI-analyzed voice responses</w:t>
            </w:r>
          </w:p>
        </w:tc>
      </w:tr>
      <w:tr>
        <w:tc>
          <w:tcPr>
            <w:tcW w:type="dxa" w:w="1728"/>
            <w:shd w:fill="FFD70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21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100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-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30-minute assessment</w:t>
            </w:r>
          </w:p>
        </w:tc>
      </w:tr>
    </w:tbl>
    <w:p/>
    <w:p>
      <w:pPr>
        <w:pStyle w:val="Heading1"/>
      </w:pPr>
      <w:r>
        <w:rPr>
          <w:b/>
          <w:color w:val="007AFF"/>
        </w:rPr>
        <w:t>Key Features</w:t>
      </w:r>
    </w:p>
    <w:p>
      <w:pPr>
        <w:pStyle w:val="Heading2"/>
      </w:pPr>
      <w:r>
        <w:rPr>
          <w:b/>
          <w:color w:val="5856D6"/>
        </w:rPr>
        <w:t>Division-Specific Assessment Paths</w:t>
      </w:r>
    </w:p>
    <w:p>
      <w:pPr>
        <w:pStyle w:val="ListBullet"/>
      </w:pPr>
      <w:r>
        <w:t>Hotel Operations - 10 departments (AUX SERV, Beverage, Culinary, Guest Services, Housekeeping, Laundry, Photo, Provisions, Restaurant, Shore Excursions)</w:t>
      </w:r>
    </w:p>
    <w:p>
      <w:pPr>
        <w:pStyle w:val="ListBullet"/>
      </w:pPr>
      <w:r>
        <w:t>Marine Operations - 3 departments (Deck, Engine, Security)</w:t>
      </w:r>
    </w:p>
    <w:p>
      <w:pPr>
        <w:pStyle w:val="ListBullet"/>
      </w:pPr>
      <w:r>
        <w:t>Casino Operations - 3 departments (Table Games, Slots, Services)</w:t>
      </w:r>
    </w:p>
    <w:p>
      <w:pPr>
        <w:pStyle w:val="Heading2"/>
      </w:pPr>
      <w:r>
        <w:rPr>
          <w:b/>
          <w:color w:val="5856D6"/>
        </w:rPr>
        <w:t>Advanced Technology Integration</w:t>
      </w:r>
    </w:p>
    <w:p>
      <w:pPr>
        <w:pStyle w:val="ListBullet"/>
      </w:pPr>
      <w:r>
        <w:t>Browser-based TTS (Text-to-Speech) - No external API costs</w:t>
      </w:r>
    </w:p>
    <w:p>
      <w:pPr>
        <w:pStyle w:val="ListBullet"/>
      </w:pPr>
      <w:r>
        <w:t>Real-time voice recording - Authentic speaking assessment</w:t>
      </w:r>
    </w:p>
    <w:p>
      <w:pPr>
        <w:pStyle w:val="ListBullet"/>
      </w:pPr>
      <w:r>
        <w:t>Interactive drag-and-drop - Enhanced user experience</w:t>
      </w:r>
    </w:p>
    <w:p>
      <w:pPr>
        <w:pStyle w:val="ListBullet"/>
      </w:pPr>
      <w:r>
        <w:t>Responsive design - Works on any device</w:t>
      </w:r>
    </w:p>
    <w:p>
      <w:pPr>
        <w:pStyle w:val="Heading2"/>
      </w:pPr>
      <w:r>
        <w:rPr>
          <w:b/>
          <w:color w:val="5856D6"/>
        </w:rPr>
        <w:t>Immediate Results &amp; Analytics</w:t>
      </w:r>
    </w:p>
    <w:p>
      <w:pPr>
        <w:pStyle w:val="ListBullet"/>
      </w:pPr>
      <w:r>
        <w:t>Instant scoring upon completion</w:t>
      </w:r>
    </w:p>
    <w:p>
      <w:pPr>
        <w:pStyle w:val="ListBullet"/>
      </w:pPr>
      <w:r>
        <w:t>Module-by-module performance breakdown</w:t>
      </w:r>
    </w:p>
    <w:p>
      <w:pPr>
        <w:pStyle w:val="ListBullet"/>
      </w:pPr>
      <w:r>
        <w:t>Pass/Fail determination (65% threshold)</w:t>
      </w:r>
    </w:p>
    <w:p>
      <w:pPr>
        <w:pStyle w:val="ListBullet"/>
      </w:pPr>
      <w:r>
        <w:t>Exportable results for HR systems</w:t>
      </w:r>
    </w:p>
    <w:p/>
    <w:p>
      <w:pPr>
        <w:pStyle w:val="Heading1"/>
      </w:pPr>
      <w:r>
        <w:rPr>
          <w:b/>
          <w:color w:val="007AFF"/>
        </w:rPr>
        <w:t>Business Impact</w:t>
      </w:r>
    </w:p>
    <w:p>
      <w:pPr>
        <w:pStyle w:val="Heading2"/>
      </w:pPr>
      <w:r>
        <w:rPr>
          <w:b/>
          <w:color w:val="34C759"/>
        </w:rPr>
        <w:t>Cost Savings</w:t>
      </w:r>
    </w:p>
    <w:p>
      <w:pPr>
        <w:pStyle w:val="ListBullet"/>
      </w:pPr>
      <w:r>
        <w:t>Eliminates need for manual English assessments</w:t>
      </w:r>
    </w:p>
    <w:p>
      <w:pPr>
        <w:pStyle w:val="ListBullet"/>
      </w:pPr>
      <w:r>
        <w:t>Reduces HR screening time by ~80%</w:t>
      </w:r>
    </w:p>
    <w:p>
      <w:pPr>
        <w:pStyle w:val="ListBullet"/>
      </w:pPr>
      <w:r>
        <w:t>No recurring API costs (browser-based TTS)</w:t>
      </w:r>
    </w:p>
    <w:p>
      <w:pPr>
        <w:pStyle w:val="ListBullet"/>
      </w:pPr>
      <w:r>
        <w:t>Self-service platform reduces administrative overhead</w:t>
      </w:r>
    </w:p>
    <w:p>
      <w:pPr>
        <w:pStyle w:val="Heading2"/>
      </w:pPr>
      <w:r>
        <w:rPr>
          <w:b/>
          <w:color w:val="34C759"/>
        </w:rPr>
        <w:t>Quality Improvements</w:t>
      </w:r>
    </w:p>
    <w:p>
      <w:pPr>
        <w:pStyle w:val="ListBullet"/>
      </w:pPr>
      <w:r>
        <w:t>Standardized evaluation criteria across all locations</w:t>
      </w:r>
    </w:p>
    <w:p>
      <w:pPr>
        <w:pStyle w:val="ListBullet"/>
      </w:pPr>
      <w:r>
        <w:t>Objective, bias-free scoring</w:t>
      </w:r>
    </w:p>
    <w:p>
      <w:pPr>
        <w:pStyle w:val="ListBullet"/>
      </w:pPr>
      <w:r>
        <w:t>Comprehensive skill assessment (6 modules vs. 1-2 traditional)</w:t>
      </w:r>
    </w:p>
    <w:p>
      <w:pPr>
        <w:pStyle w:val="ListBullet"/>
      </w:pPr>
      <w:r>
        <w:t>Industry-specific content (cruise terminology, scenarios)</w:t>
      </w:r>
    </w:p>
    <w:p/>
    <w:p>
      <w:pPr>
        <w:pStyle w:val="Heading1"/>
      </w:pPr>
      <w:r>
        <w:rPr>
          <w:b/>
          <w:color w:val="007AFF"/>
        </w:rPr>
        <w:t>ROI Projection</w:t>
      </w:r>
    </w:p>
    <w:p>
      <w:r>
        <w:rPr>
          <w:b/>
          <w:color w:val="000000"/>
        </w:rPr>
        <w:t>Assumptions:</w:t>
      </w:r>
    </w:p>
    <w:p>
      <w:pPr>
        <w:pStyle w:val="ListBullet"/>
      </w:pPr>
      <w:r>
        <w:t>5,000 new hires annually across CCL fleet</w:t>
      </w:r>
    </w:p>
    <w:p>
      <w:pPr>
        <w:pStyle w:val="ListBullet"/>
      </w:pPr>
      <w:r>
        <w:t>Traditional assessment: $75 per candidate (2 hours @ $37.50/hr)</w:t>
      </w:r>
    </w:p>
    <w:p>
      <w:pPr>
        <w:pStyle w:val="ListBullet"/>
      </w:pPr>
      <w:r>
        <w:t>Platform development: One-time investment</w:t>
      </w:r>
    </w:p>
    <w:p>
      <w:r>
        <w:rPr>
          <w:b/>
          <w:color w:val="000000"/>
        </w:rPr>
        <w:t xml:space="preserve">Annual Savings: </w:t>
      </w:r>
      <w:r>
        <w:rPr>
          <w:b/>
          <w:color w:val="FF3B30"/>
          <w:sz w:val="28"/>
        </w:rPr>
        <w:t>$375,000/year</w:t>
      </w:r>
    </w:p>
    <w:p>
      <w:r>
        <w:rPr>
          <w:b w:val="0"/>
          <w:color w:val="000000"/>
        </w:rPr>
        <w:t xml:space="preserve">Calculation: </w:t>
      </w:r>
      <w:r>
        <w:rPr>
          <w:b/>
          <w:color w:val="000000"/>
        </w:rPr>
        <w:t>5,000 candidates × $75 = $375,000/year</w:t>
      </w:r>
    </w:p>
    <w:p>
      <w:r>
        <w:rPr>
          <w:b/>
          <w:color w:val="000000"/>
        </w:rPr>
        <w:t xml:space="preserve">Payback Period: </w:t>
      </w:r>
      <w:r>
        <w:rPr>
          <w:b/>
          <w:color w:val="34C759"/>
          <w:sz w:val="24"/>
        </w:rPr>
        <w:t>&lt; 1 month of operation</w:t>
      </w:r>
    </w:p>
    <w:p/>
    <w:p>
      <w:pPr>
        <w:pStyle w:val="Heading1"/>
      </w:pPr>
      <w:r>
        <w:rPr>
          <w:b/>
          <w:color w:val="007AFF"/>
        </w:rPr>
        <w:t>Competitive Advantages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Feature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CCL Platform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Traditional Assessment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Commercial Solutions</w:t>
            </w:r>
          </w:p>
        </w:tc>
      </w:tr>
      <w:tr>
        <w:tc>
          <w:tcPr>
            <w:tcW w:type="dxa" w:w="2160"/>
          </w:tcPr>
          <w:p>
            <w:r>
              <w:t>Cost per Assessment</w:t>
            </w:r>
          </w:p>
        </w:tc>
        <w:tc>
          <w:tcPr>
            <w:tcW w:type="dxa" w:w="2160"/>
          </w:tcPr>
          <w:p>
            <w:r>
              <w:t>$0</w:t>
            </w:r>
          </w:p>
        </w:tc>
        <w:tc>
          <w:tcPr>
            <w:tcW w:type="dxa" w:w="2160"/>
          </w:tcPr>
          <w:p>
            <w:r>
              <w:t>$50-100 (labor)</w:t>
            </w:r>
          </w:p>
        </w:tc>
        <w:tc>
          <w:tcPr>
            <w:tcW w:type="dxa" w:w="2160"/>
          </w:tcPr>
          <w:p>
            <w:r>
              <w:t>$20-50 (licensing)</w:t>
            </w:r>
          </w:p>
        </w:tc>
      </w:tr>
      <w:tr>
        <w:tc>
          <w:tcPr>
            <w:tcW w:type="dxa" w:w="2160"/>
          </w:tcPr>
          <w:p>
            <w:r>
              <w:t>Customization</w:t>
            </w:r>
          </w:p>
        </w:tc>
        <w:tc>
          <w:tcPr>
            <w:tcW w:type="dxa" w:w="2160"/>
          </w:tcPr>
          <w:p>
            <w:r>
              <w:t>100% tailored</w:t>
            </w:r>
          </w:p>
        </w:tc>
        <w:tc>
          <w:tcPr>
            <w:tcW w:type="dxa" w:w="2160"/>
          </w:tcPr>
          <w:p>
            <w:r>
              <w:t>Limited</w:t>
            </w:r>
          </w:p>
        </w:tc>
        <w:tc>
          <w:tcPr>
            <w:tcW w:type="dxa" w:w="2160"/>
          </w:tcPr>
          <w:p>
            <w:r>
              <w:t>Generic content</w:t>
            </w:r>
          </w:p>
        </w:tc>
      </w:tr>
      <w:tr>
        <w:tc>
          <w:tcPr>
            <w:tcW w:type="dxa" w:w="2160"/>
          </w:tcPr>
          <w:p>
            <w:r>
              <w:t>Scalability</w:t>
            </w:r>
          </w:p>
        </w:tc>
        <w:tc>
          <w:tcPr>
            <w:tcW w:type="dxa" w:w="2160"/>
          </w:tcPr>
          <w:p>
            <w:r>
              <w:t>Unlimited</w:t>
            </w:r>
          </w:p>
        </w:tc>
        <w:tc>
          <w:tcPr>
            <w:tcW w:type="dxa" w:w="2160"/>
          </w:tcPr>
          <w:p>
            <w:r>
              <w:t>Limited by staff</w:t>
            </w:r>
          </w:p>
        </w:tc>
        <w:tc>
          <w:tcPr>
            <w:tcW w:type="dxa" w:w="2160"/>
          </w:tcPr>
          <w:p>
            <w:r>
              <w:t>Pay-per-use</w:t>
            </w:r>
          </w:p>
        </w:tc>
      </w:tr>
      <w:tr>
        <w:tc>
          <w:tcPr>
            <w:tcW w:type="dxa" w:w="2160"/>
          </w:tcPr>
          <w:p>
            <w:r>
              <w:t>Industry Focus</w:t>
            </w:r>
          </w:p>
        </w:tc>
        <w:tc>
          <w:tcPr>
            <w:tcW w:type="dxa" w:w="2160"/>
          </w:tcPr>
          <w:p>
            <w:r>
              <w:t>Cruise-specific</w:t>
            </w:r>
          </w:p>
        </w:tc>
        <w:tc>
          <w:tcPr>
            <w:tcW w:type="dxa" w:w="2160"/>
          </w:tcPr>
          <w:p>
            <w:r>
              <w:t>Generic</w:t>
            </w:r>
          </w:p>
        </w:tc>
        <w:tc>
          <w:tcPr>
            <w:tcW w:type="dxa" w:w="2160"/>
          </w:tcPr>
          <w:p>
            <w:r>
              <w:t>Generic</w:t>
            </w:r>
          </w:p>
        </w:tc>
      </w:tr>
      <w:tr>
        <w:tc>
          <w:tcPr>
            <w:tcW w:type="dxa" w:w="2160"/>
          </w:tcPr>
          <w:p>
            <w:r>
              <w:t>Integration</w:t>
            </w:r>
          </w:p>
        </w:tc>
        <w:tc>
          <w:tcPr>
            <w:tcW w:type="dxa" w:w="2160"/>
          </w:tcPr>
          <w:p>
            <w:r>
              <w:t>Full control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Vendor-dependent</w:t>
            </w:r>
          </w:p>
        </w:tc>
      </w:tr>
    </w:tbl>
    <w:p/>
    <w:p>
      <w:pPr>
        <w:pStyle w:val="Heading1"/>
      </w:pPr>
      <w:r>
        <w:rPr>
          <w:b/>
          <w:color w:val="007AFF"/>
        </w:rPr>
        <w:t>Technical Architecture</w:t>
      </w:r>
    </w:p>
    <w:p>
      <w:pPr>
        <w:pStyle w:val="Heading2"/>
      </w:pPr>
      <w:r>
        <w:rPr>
          <w:b/>
          <w:color w:val="5856D6"/>
        </w:rPr>
        <w:t>Frontend</w:t>
      </w:r>
    </w:p>
    <w:p>
      <w:pPr>
        <w:pStyle w:val="ListBullet"/>
      </w:pPr>
      <w:r>
        <w:t>Modern HTML5/CSS3/JavaScript</w:t>
      </w:r>
    </w:p>
    <w:p>
      <w:pPr>
        <w:pStyle w:val="ListBullet"/>
      </w:pPr>
      <w:r>
        <w:t>Apple-inspired UI design (SF Pro Display)</w:t>
      </w:r>
    </w:p>
    <w:p>
      <w:pPr>
        <w:pStyle w:val="ListBullet"/>
      </w:pPr>
      <w:r>
        <w:t>Mobile-responsive layouts</w:t>
      </w:r>
    </w:p>
    <w:p>
      <w:pPr>
        <w:pStyle w:val="ListBullet"/>
      </w:pPr>
      <w:r>
        <w:t>Accessibility-compliant</w:t>
      </w:r>
    </w:p>
    <w:p>
      <w:pPr>
        <w:pStyle w:val="Heading2"/>
      </w:pPr>
      <w:r>
        <w:rPr>
          <w:b/>
          <w:color w:val="5856D6"/>
        </w:rPr>
        <w:t>Backend</w:t>
      </w:r>
    </w:p>
    <w:p>
      <w:pPr>
        <w:pStyle w:val="ListBullet"/>
      </w:pPr>
      <w:r>
        <w:t>Python FastAPI framework</w:t>
      </w:r>
    </w:p>
    <w:p>
      <w:pPr>
        <w:pStyle w:val="ListBullet"/>
      </w:pPr>
      <w:r>
        <w:t>RESTful API architecture</w:t>
      </w:r>
    </w:p>
    <w:p>
      <w:pPr>
        <w:pStyle w:val="ListBullet"/>
      </w:pPr>
      <w:r>
        <w:t>JSON-based question configuration</w:t>
      </w:r>
    </w:p>
    <w:p>
      <w:pPr>
        <w:pStyle w:val="ListBullet"/>
      </w:pPr>
      <w:r>
        <w:t>Scalable microservices design</w:t>
      </w:r>
    </w:p>
    <w:p>
      <w:pPr>
        <w:pStyle w:val="Heading2"/>
      </w:pPr>
      <w:r>
        <w:rPr>
          <w:b/>
          <w:color w:val="5856D6"/>
        </w:rPr>
        <w:t>Infrastructure</w:t>
      </w:r>
    </w:p>
    <w:p>
      <w:pPr>
        <w:pStyle w:val="ListBullet"/>
      </w:pPr>
      <w:r>
        <w:t>Lightweight deployment (~50MB)</w:t>
      </w:r>
    </w:p>
    <w:p>
      <w:pPr>
        <w:pStyle w:val="ListBullet"/>
      </w:pPr>
      <w:r>
        <w:t>No database required for MVP</w:t>
      </w:r>
    </w:p>
    <w:p>
      <w:pPr>
        <w:pStyle w:val="ListBullet"/>
      </w:pPr>
      <w:r>
        <w:t>Easy integration with existing HR systems</w:t>
      </w:r>
    </w:p>
    <w:p>
      <w:pPr>
        <w:pStyle w:val="ListBullet"/>
      </w:pPr>
      <w:r>
        <w:t>Cloud-ready architecture</w:t>
      </w:r>
    </w:p>
    <w:p/>
    <w:p>
      <w:pPr>
        <w:pStyle w:val="Heading1"/>
      </w:pPr>
      <w:r>
        <w:rPr>
          <w:b/>
          <w:color w:val="007AFF"/>
        </w:rPr>
        <w:t>Deployment Options</w:t>
      </w:r>
    </w:p>
    <w:p>
      <w:pPr>
        <w:pStyle w:val="Heading2"/>
      </w:pPr>
      <w:r>
        <w:rPr>
          <w:b/>
          <w:color w:val="5856D6"/>
        </w:rPr>
        <w:t>Option 1: Internal Hosting</w:t>
      </w:r>
    </w:p>
    <w:p>
      <w:pPr>
        <w:pStyle w:val="ListBullet"/>
      </w:pPr>
      <w:r>
        <w:t>Host on CCL servers</w:t>
      </w:r>
    </w:p>
    <w:p>
      <w:pPr>
        <w:pStyle w:val="ListBullet"/>
      </w:pPr>
      <w:r>
        <w:t>Full data control</w:t>
      </w:r>
    </w:p>
    <w:p>
      <w:pPr>
        <w:pStyle w:val="ListBullet"/>
      </w:pPr>
      <w:r>
        <w:t>Integration with existing HR systems</w:t>
      </w:r>
    </w:p>
    <w:p>
      <w:pPr>
        <w:pStyle w:val="Heading2"/>
      </w:pPr>
      <w:r>
        <w:rPr>
          <w:b/>
          <w:color w:val="5856D6"/>
        </w:rPr>
        <w:t>Option 2: Cloud Deployment</w:t>
      </w:r>
    </w:p>
    <w:p>
      <w:pPr>
        <w:pStyle w:val="ListBullet"/>
      </w:pPr>
      <w:r>
        <w:t>AWS/Azure/GCP compatible</w:t>
      </w:r>
    </w:p>
    <w:p>
      <w:pPr>
        <w:pStyle w:val="ListBullet"/>
      </w:pPr>
      <w:r>
        <w:t>Global accessibility</w:t>
      </w:r>
    </w:p>
    <w:p>
      <w:pPr>
        <w:pStyle w:val="ListBullet"/>
      </w:pPr>
      <w:r>
        <w:t>Auto-scaling capabilities</w:t>
      </w:r>
    </w:p>
    <w:p>
      <w:pPr>
        <w:pStyle w:val="Heading2"/>
      </w:pPr>
      <w:r>
        <w:rPr>
          <w:b/>
          <w:color w:val="5856D6"/>
        </w:rPr>
        <w:t>Option 3: Hybrid</w:t>
      </w:r>
    </w:p>
    <w:p>
      <w:pPr>
        <w:pStyle w:val="ListBullet"/>
      </w:pPr>
      <w:r>
        <w:t>Assessment portal in cloud</w:t>
      </w:r>
    </w:p>
    <w:p>
      <w:pPr>
        <w:pStyle w:val="ListBullet"/>
      </w:pPr>
      <w:r>
        <w:t>Results stored on-premise</w:t>
      </w:r>
    </w:p>
    <w:p>
      <w:pPr>
        <w:pStyle w:val="ListBullet"/>
      </w:pPr>
      <w:r>
        <w:t>Best of both worlds</w:t>
      </w:r>
    </w:p>
    <w:p/>
    <w:p>
      <w:pPr>
        <w:pStyle w:val="Heading1"/>
      </w:pPr>
      <w:r>
        <w:rPr>
          <w:b/>
          <w:color w:val="34C759"/>
        </w:rPr>
        <w:t>Recommendation</w:t>
      </w:r>
    </w:p>
    <w:p>
      <w:r>
        <w:rPr>
          <w:b/>
          <w:color w:val="000000"/>
        </w:rPr>
        <w:t xml:space="preserve">Deploy immediately </w:t>
      </w:r>
      <w:r>
        <w:rPr>
          <w:b w:val="0"/>
          <w:color w:val="000000"/>
        </w:rPr>
        <w:t>for pilot program with:</w:t>
      </w:r>
    </w:p>
    <w:p>
      <w:pPr>
        <w:pStyle w:val="ListBullet"/>
      </w:pPr>
      <w:r>
        <w:t>100 candidates across all three divisions</w:t>
      </w:r>
    </w:p>
    <w:p>
      <w:pPr>
        <w:pStyle w:val="ListBullet"/>
      </w:pPr>
      <w:r>
        <w:t>HR feedback collection</w:t>
      </w:r>
    </w:p>
    <w:p>
      <w:pPr>
        <w:pStyle w:val="ListBullet"/>
      </w:pPr>
      <w:r>
        <w:t>System performance monitoring</w:t>
      </w:r>
    </w:p>
    <w:p>
      <w:pPr>
        <w:pStyle w:val="ListBullet"/>
      </w:pPr>
      <w:r>
        <w:t>Content refinement based on results</w:t>
      </w:r>
    </w:p>
    <w:p/>
    <w:p>
      <w:pPr>
        <w:pStyle w:val="Heading1"/>
      </w:pPr>
      <w:r>
        <w:rPr>
          <w:b/>
          <w:color w:val="007AFF"/>
        </w:rPr>
        <w:t>Conclusion</w:t>
      </w:r>
    </w:p>
    <w:p>
      <w:r>
        <w:t>The CCL English Assessment Platform delivers a cost-effective, scalable, and comprehensive solution for evaluating English proficiency of cruise ship employees. With zero ongoing costs, unlimited scalability, and cruise-specific content, this platform positions CCL to:</w:t>
      </w:r>
    </w:p>
    <w:p>
      <w:r>
        <w:rPr>
          <w:b/>
        </w:rPr>
        <w:t>1. Reduce hiring costs by 90%</w:t>
      </w:r>
    </w:p>
    <w:p>
      <w:r>
        <w:rPr>
          <w:b/>
        </w:rPr>
        <w:t>2. Improve candidate quality through standardized evaluation</w:t>
      </w:r>
    </w:p>
    <w:p>
      <w:r>
        <w:rPr>
          <w:b/>
        </w:rPr>
        <w:t>3. Accelerate hiring process by eliminating manual assessments</w:t>
      </w:r>
    </w:p>
    <w:p>
      <w:r>
        <w:rPr>
          <w:b/>
        </w:rPr>
        <w:t>4. Scale globally without additional resources</w:t>
      </w:r>
    </w:p>
    <w:p/>
    <w:p>
      <w:r>
        <w:rPr>
          <w:b/>
          <w:color w:val="34C759"/>
          <w:sz w:val="24"/>
        </w:rPr>
        <w:t>The platform is production-ready and awaiting deployment approval.</w:t>
      </w:r>
    </w:p>
    <w:p/>
    <w:p/>
    <w:p>
      <w:pPr>
        <w:jc w:val="center"/>
      </w:pPr>
      <w:r>
        <w:rPr>
          <w:b w:val="0"/>
          <w:color w:val="808080"/>
          <w:sz w:val="18"/>
        </w:rPr>
        <w:t>Document prepared for CCL Stakeholder Review</w:t>
        <w:br/>
      </w:r>
      <w:r>
        <w:rPr>
          <w:b/>
          <w:color w:val="FF3B30"/>
          <w:sz w:val="18"/>
        </w:rPr>
        <w:t>Confidential - Internal Use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