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Отчет по автомобильным дорогам</w:t>
      </w:r>
    </w:p>
    <w:p>
      <w:pPr>
        <w:pStyle w:val="Heading2"/>
      </w:pPr>
      <w:r>
        <w:t>Аналитическое резюме</w:t>
      </w:r>
    </w:p>
    <w:p>
      <w:pPr>
        <w:jc w:val="both"/>
      </w:pPr>
      <w:r>
        <w:t>Вот одно итоговое аналитическое предложение для отчета:</w:t>
        <w:br/>
        <w:br/>
        <w:t>"Сеть из одного объекта с общим длином дороги 6.98 км в региональном значении, характеризующаяся типом дорожного полотна "Дорога обычного типа (не скоростная)". Это сетевое состояние отражает небольшую протяженность и относительную простоту дороги, что может быть связано с меньшим объемом дорожных работ или более узкими трафиками. В целом, данное состояние сети характеризуется высокой степенью регионального значения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