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4.21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Transtornos Alimentares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i/>
          <w:iCs/>
          <w:color w:val="C1652F"/>
          <w:sz w:val="20"/>
          <w:szCs w:val="20"/>
        </w:rPr>
        <w:t xml:space="preserve">Nota importante: este módulo trata de manejo clínico com componente relevante de risco médico. Recomenda-se supervisão específica e trabalho em equipe multiprofissional antes de conduzir atendimentos desse perfil de forma independente.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104 minutos (1.7h)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a restrição se sustenta sozinha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dos transtornos alimentares sem jargão, e por que "força de vontade" não é a explicação certa.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dieta inicial ao ciclo consolidado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temperamento, restrição inicial e consolidação do ciclo.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traços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restrição/controle, distorção da imagem corporal e comportamento compensatório.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dos transtornos alimentares.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subtipos de transtorno alimentar, TOC e Transtorno Dismórfico Corporal.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EAT-26, EDE-Q e dados de IMC/histórico ponderal.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estabilização médica e normalização alimentar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protocolo, sempre em equipe multiprofissional.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imagem corporal e prevenção de recaída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a relação com peso/forma e identificar gatilhos de recaída.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protocolo num caso completo, com ênfase na avaliação médica obrigatória.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a restrição se sustenta sozinha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dos transtornos alimentares sem jargão, e por que "força de vontade" não é a explicação certa.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“Nos transtornos alimentares, restringir não é só uma escolha que sai do controle — a própria restrição altera a forma como o cérebro processa fome, saciedade e recompensa, criando um ciclo que se sustenta sozinho.”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"Força de vontade" nunca foi a explicação certa.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primeiro passo do protocolo quase sempre é médico, não psicológico.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restrição se sustenta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Ínsula com processamento interoceptivo distorcido de fome e saciedade.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recompensa com resposta alterada a alimentos, conforme o subtipo.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com controle rígido e excessivo sobre o impulso alimentar.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Circuito de imagem corporal com distorção da autopercepção da forma física.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Fome real deixa de ser um guia confiável quando a interocepção está distorcida.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esse padrão se consolida a partir de uma dieta comum.”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dieta inicial ao ciclo consolidado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temperamento, restrição inicial e consolidação do ciclo.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o padrão se forma a partir de um comportamento comum.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Temperamento perfeccionista/ansioso, combinado a pressão sociocultural.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Restrição alimentar inicial, muitas vezes sem intenção patológica.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Adaptação neurobiológica que reforça a sensação de controle.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Ciclo consolidado, independente da intenção original.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raramente é sobre comida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restrição vira, ao longo do tempo, uma forma disfuncional de regular emoção e sensação de controle.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traços centrais dos transtornos alimentares.”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traços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restrição/controle, distorção da imagem corporal e comportamento compensatório.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traços — presentes, em combinações diferentes, em cada subtipo.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traços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Restrição alimentar/controle: regras rígidas sobre o que, quando e quanto comer.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Distorção da imagem corporal: peso e forma como base central da autoavaliação.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Comportamento compensatório: purgação, exercício excessivo ou jejum.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os subtipos se sobrepõem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Anorexia, Bulimia e TCA diferem na combinação e intensidade desses traços, não em traços totalmente distintos.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reconhecer esse padrão nas 4 dimensões clínicas.”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dos transtornos alimentares.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orienta a decisão mais importante: quando priorizar avaliação médica.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pensamento dicotômico sobre comida, supervalorização do peso.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rituais alimentares, evitação de refeições sociais.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isolamento social em torno de refeições, conflitos familiares.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sinais de desnutrição, alterações menstruais, flutuações de peso.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Os sinais físicos, em especial, exigem investigação médica ativa e imediata.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subtipos de transtorno alimentar, TOC e Transtorno Dismórfico Corporal.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inclusive dentro da própria categoria de transtornos alimentares.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comparativos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Anorexia x Bulimia x TCA: diferenciar por peso corporal e presença de purgação.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TOC (Módulo 4.8): ritual serve ao controle de peso/forma, não a conteúdo obsessivo distinto.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Transtorno Dismórfico Corporal: preocupação não limitada a peso/forma, mas a características específicas.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Peso normal não descarta Bulimia ou TCA — um erro diagnóstico comum na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EAT-26, EDE-Q e dados de IMC/histórico ponderal.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Dois instrumentos e um dado objetivo — nenhum deles usado isoladamente.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EAT-26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Triagem rápida de atitudes e comportamentos alimentares de risco.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EDE-Q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mais detalhada dos sintomas centrais do transtorno.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IMC e histórico ponderal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Dado objetivo complementar, nunca isolado do quadro clínico completo.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estabilização médica e normalização alimentar.”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estabilização médica e normalização alimentar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protocolo, sempre em equipe multiprofissional.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estruturalmente mais importante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Estabilização médica → Normalização alimentar → Reestruturação da imagem corporal → Prevenção de recaída.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Essa ordem não é negociável.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Estabilização médica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sempre em equipe com médico e nutricionista.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Priorize sinais de risco antes de qualquer intervenção psicológica profunda.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Normalização alimentar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“Vamos reconstruir um padrão de alimentação regular, com apoio, sem negociar as regras que a restrição impôs até aqui.”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reestruturação da imagem corporal e prevenção de recaída.”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imagem corporal e prevenção de recaída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a relação com peso/forma e identificar gatilhos de recaída.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com o trabalho de mais longo prazo.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Reestruturação da imagem corporal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a diferença entre valor pessoal e peso/forma corporal.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Questione o pensamento dicotômico sobre comida de forma gradual.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Prevenção de recaída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Identifique gatilhos específicos: novas dietas, comentários sobre peso, transições de vida.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Construa um plano de ação combinado pra momentos de maior risco.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protocolo num caso completo, com ênfase na avaliação médica obrigatória.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escalonamento que aqui são regra, não exceção.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Beatriz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reforce que a equipe multiprofissional é obrigatória, não opcional.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reformulação central: restrição altera o próprio processamento neurobiológico, não é questão de força de vontade.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protocolo.”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4.21 — Transtornos Alimentares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2026-07-10T02:21:27.704Z</dcterms:created>
  <dcterms:modified xsi:type="dcterms:W3CDTF">2026-07-10T02:21:27.704Z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