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1652F"/>
          <w:sz w:val="18"/>
          <w:szCs w:val="18"/>
        </w:rPr>
        <w:t xml:space="preserve">MÓDULO 4.22 · PROTOCOLOS CLÍNICOS</w:t>
      </w:r>
    </w:p>
    <w:p>
      <w:pPr>
        <w:spacing w:after="160"/>
      </w:pPr>
      <w:r>
        <w:rPr>
          <w:rFonts w:ascii="Cambria" w:cs="Cambria" w:eastAsia="Cambria" w:hAnsi="Cambria"/>
          <w:b/>
          <w:bCs/>
          <w:color w:val="12283D"/>
          <w:sz w:val="44"/>
          <w:szCs w:val="44"/>
        </w:rPr>
        <w:t xml:space="preserve">Avaliação — TDAH em Adultos</w:t>
      </w:r>
    </w:p>
    <w:p>
      <w:pPr>
        <w:spacing w:after="200" w:before="60"/>
      </w:pPr>
      <w:r>
        <w:rPr>
          <w:rFonts w:ascii="Calibri" w:cs="Calibri" w:eastAsia="Calibri" w:hAnsi="Calibri"/>
          <w:i/>
          <w:iCs/>
          <w:color w:val="6B6157"/>
          <w:sz w:val="21"/>
          <w:szCs w:val="21"/>
        </w:rPr>
        <w:t xml:space="preserve">Avaliação formativa de encerramento do Módulo 4.22.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pPr>
              <w:spacing w:after="60"/>
            </w:pPr>
            <w:r>
              <w:rPr>
                <w:rFonts w:ascii="Calibri" w:cs="Calibri" w:eastAsia="Calibri" w:hAnsi="Calibri"/>
                <w:b/>
                <w:bCs/>
                <w:color w:val="12283D"/>
                <w:sz w:val="20"/>
                <w:szCs w:val="20"/>
              </w:rPr>
              <w:t xml:space="preserve">Nota de corte:  </w:t>
            </w:r>
            <w:r>
              <w:rPr>
                <w:rFonts w:ascii="Calibri" w:cs="Calibri" w:eastAsia="Calibri" w:hAnsi="Calibri"/>
                <w:color w:val="2B2B2B"/>
                <w:sz w:val="20"/>
                <w:szCs w:val="20"/>
              </w:rPr>
              <w:t xml:space="preserve">70 de 100 pontos</w:t>
            </w:r>
          </w:p>
          <w:p>
            <w:pPr>
              <w:spacing w:after="60"/>
            </w:pPr>
            <w:r>
              <w:rPr>
                <w:rFonts w:ascii="Calibri" w:cs="Calibri" w:eastAsia="Calibri" w:hAnsi="Calibri"/>
                <w:b/>
                <w:bCs/>
                <w:color w:val="12283D"/>
                <w:sz w:val="20"/>
                <w:szCs w:val="20"/>
              </w:rPr>
              <w:t xml:space="preserve">Tempo sugerido:  </w:t>
            </w:r>
            <w:r>
              <w:rPr>
                <w:rFonts w:ascii="Calibri" w:cs="Calibri" w:eastAsia="Calibri" w:hAnsi="Calibri"/>
                <w:color w:val="2B2B2B"/>
                <w:sz w:val="20"/>
                <w:szCs w:val="20"/>
              </w:rPr>
              <w:t xml:space="preserve">40 minutos</w:t>
            </w:r>
          </w:p>
          <w:p>
            <w:pPr>
              <w:spacing w:after="60"/>
            </w:pPr>
            <w:r>
              <w:rPr>
                <w:rFonts w:ascii="Calibri" w:cs="Calibri" w:eastAsia="Calibri" w:hAnsi="Calibri"/>
                <w:b/>
                <w:bCs/>
                <w:color w:val="12283D"/>
                <w:sz w:val="20"/>
                <w:szCs w:val="20"/>
              </w:rPr>
              <w:t xml:space="preserve">Composição:  </w:t>
            </w:r>
            <w:r>
              <w:rPr>
                <w:rFonts w:ascii="Calibri" w:cs="Calibri" w:eastAsia="Calibri" w:hAnsi="Calibri"/>
                <w:color w:val="2B2B2B"/>
                <w:sz w:val="20"/>
                <w:szCs w:val="20"/>
              </w:rPr>
              <w:t xml:space="preserve">10 questões objetivas (6 pts cada = 60 pts) + 1 questão de caso (40 pts)</w:t>
            </w:r>
          </w:p>
          <w:p>
            <w:pPr>
              <w:spacing w:after="60"/>
            </w:pPr>
            <w:r>
              <w:rPr>
                <w:rFonts w:ascii="Calibri" w:cs="Calibri" w:eastAsia="Calibri" w:hAnsi="Calibri"/>
                <w:b/>
                <w:bCs/>
                <w:color w:val="12283D"/>
                <w:sz w:val="20"/>
                <w:szCs w:val="20"/>
              </w:rPr>
              <w:t xml:space="preserve">Consulta:  </w:t>
            </w:r>
            <w:r>
              <w:rPr>
                <w:rFonts w:ascii="Calibri" w:cs="Calibri" w:eastAsia="Calibri" w:hAnsi="Calibri"/>
                <w:color w:val="2B2B2B"/>
                <w:sz w:val="20"/>
                <w:szCs w:val="20"/>
              </w:rPr>
              <w:t xml:space="preserve">Material da aula permitido; discussão entre colegas, não</w:t>
            </w:r>
          </w:p>
        </w:tc>
      </w:tr>
    </w:tbl>
    <w:p>
      <w:pPr>
        <w:pStyle w:val="Heading1"/>
        <w:spacing w:after="160" w:before="380"/>
      </w:pPr>
      <w:r>
        <w:rPr>
          <w:rFonts w:ascii="Cambria" w:cs="Cambria" w:eastAsia="Cambria" w:hAnsi="Cambria"/>
          <w:b/>
          <w:bCs/>
          <w:color w:val="12283D"/>
          <w:sz w:val="27"/>
          <w:szCs w:val="27"/>
        </w:rPr>
        <w:t xml:space="preserve">Parte 1 — Questões objetivas</w:t>
      </w:r>
    </w:p>
    <w:p>
      <w:pPr>
        <w:spacing w:after="80" w:before="260"/>
      </w:pPr>
      <w:r>
        <w:rPr>
          <w:rFonts w:ascii="Calibri" w:cs="Calibri" w:eastAsia="Calibri" w:hAnsi="Calibri"/>
          <w:b/>
          <w:bCs/>
          <w:color w:val="C1652F"/>
          <w:sz w:val="22"/>
          <w:szCs w:val="22"/>
        </w:rPr>
        <w:t xml:space="preserve">1. </w:t>
      </w:r>
      <w:r>
        <w:rPr>
          <w:rFonts w:ascii="Calibri" w:cs="Calibri" w:eastAsia="Calibri" w:hAnsi="Calibri"/>
          <w:color w:val="2B2B2B"/>
          <w:sz w:val="22"/>
          <w:szCs w:val="22"/>
        </w:rPr>
        <w:t xml:space="preserve">O circuito fronto-estriatal, no TDAH, tende a apresentar:</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Hipofunção no controle executivo</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Hiperfunção generalizada sem qualquer déficit</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Nenhuma alteração relevante em relação à população geral</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Hiperfunção exclusiva durante o sono</w:t>
      </w:r>
    </w:p>
    <w:p>
      <w:pPr>
        <w:spacing w:after="80" w:before="260"/>
      </w:pPr>
      <w:r>
        <w:rPr>
          <w:rFonts w:ascii="Calibri" w:cs="Calibri" w:eastAsia="Calibri" w:hAnsi="Calibri"/>
          <w:b/>
          <w:bCs/>
          <w:color w:val="C1652F"/>
          <w:sz w:val="22"/>
          <w:szCs w:val="22"/>
        </w:rPr>
        <w:t xml:space="preserve">2. </w:t>
      </w:r>
      <w:r>
        <w:rPr>
          <w:rFonts w:ascii="Calibri" w:cs="Calibri" w:eastAsia="Calibri" w:hAnsi="Calibri"/>
          <w:color w:val="2B2B2B"/>
          <w:sz w:val="22"/>
          <w:szCs w:val="22"/>
        </w:rPr>
        <w:t xml:space="preserve">A menor disponibilidade e sinalização de dopamina, no TDAH, afeta diretamente:</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Motivação e regulação da atenção</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Apenas a coordenação motora fina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Exclusivamente a memória de longo prazo</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Nenhum aspecto cognitivo relevante</w:t>
      </w:r>
    </w:p>
    <w:p>
      <w:pPr>
        <w:spacing w:after="80" w:before="260"/>
      </w:pPr>
      <w:r>
        <w:rPr>
          <w:rFonts w:ascii="Calibri" w:cs="Calibri" w:eastAsia="Calibri" w:hAnsi="Calibri"/>
          <w:b/>
          <w:bCs/>
          <w:color w:val="C1652F"/>
          <w:sz w:val="22"/>
          <w:szCs w:val="22"/>
        </w:rPr>
        <w:t xml:space="preserve">3. </w:t>
      </w:r>
      <w:r>
        <w:rPr>
          <w:rFonts w:ascii="Calibri" w:cs="Calibri" w:eastAsia="Calibri" w:hAnsi="Calibri"/>
          <w:color w:val="2B2B2B"/>
          <w:sz w:val="22"/>
          <w:szCs w:val="22"/>
        </w:rPr>
        <w:t xml:space="preserve">Os 3 traços centrais do TDAH em adultos são: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Desatenção, impulsividade, inquietação interna</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Grandiosidade, necessidade de admiração, falta de empatia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Restrição alimentar/controle, distorção da imagem corporal, comportamento compensatório</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Episódios de mania/hipomania, episódios depressivos, instabilidade do ritmo circadiano</w:t>
      </w:r>
    </w:p>
    <w:p>
      <w:pPr>
        <w:spacing w:after="80" w:before="260"/>
      </w:pPr>
      <w:r>
        <w:rPr>
          <w:rFonts w:ascii="Calibri" w:cs="Calibri" w:eastAsia="Calibri" w:hAnsi="Calibri"/>
          <w:b/>
          <w:bCs/>
          <w:color w:val="C1652F"/>
          <w:sz w:val="22"/>
          <w:szCs w:val="22"/>
        </w:rPr>
        <w:t xml:space="preserve">4. </w:t>
      </w:r>
      <w:r>
        <w:rPr>
          <w:rFonts w:ascii="Calibri" w:cs="Calibri" w:eastAsia="Calibri" w:hAnsi="Calibri"/>
          <w:color w:val="2B2B2B"/>
          <w:sz w:val="22"/>
          <w:szCs w:val="22"/>
        </w:rPr>
        <w:t xml:space="preserve">O que diferencia TDAH de Procrastinação (Módulo 4.7)?</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TDAH tem base neurobiológica pervasiva desde a infância, com prejuízo funcional amplo</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Não há diferença clínica relevante entre eles</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Procrastinação sempre tem início antes dos 12 anos</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TDAH nunca envolve dificuldade de iniciar tarefas</w:t>
      </w:r>
    </w:p>
    <w:p>
      <w:pPr>
        <w:spacing w:after="80" w:before="260"/>
      </w:pPr>
      <w:r>
        <w:rPr>
          <w:rFonts w:ascii="Calibri" w:cs="Calibri" w:eastAsia="Calibri" w:hAnsi="Calibri"/>
          <w:b/>
          <w:bCs/>
          <w:color w:val="C1652F"/>
          <w:sz w:val="22"/>
          <w:szCs w:val="22"/>
        </w:rPr>
        <w:t xml:space="preserve">5. </w:t>
      </w:r>
      <w:r>
        <w:rPr>
          <w:rFonts w:ascii="Calibri" w:cs="Calibri" w:eastAsia="Calibri" w:hAnsi="Calibri"/>
          <w:color w:val="2B2B2B"/>
          <w:sz w:val="22"/>
          <w:szCs w:val="22"/>
        </w:rPr>
        <w:t xml:space="preserve">Instrumento de triagem rápida e amplamente validado pra sintomas de TDAH em adultos:</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ASRS-18</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PCL-R</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Y-BOCS</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ISI</w:t>
      </w:r>
    </w:p>
    <w:p>
      <w:pPr>
        <w:spacing w:after="80" w:before="260"/>
      </w:pPr>
      <w:r>
        <w:rPr>
          <w:rFonts w:ascii="Calibri" w:cs="Calibri" w:eastAsia="Calibri" w:hAnsi="Calibri"/>
          <w:b/>
          <w:bCs/>
          <w:color w:val="C1652F"/>
          <w:sz w:val="22"/>
          <w:szCs w:val="22"/>
        </w:rPr>
        <w:t xml:space="preserve">6. </w:t>
      </w:r>
      <w:r>
        <w:rPr>
          <w:rFonts w:ascii="Calibri" w:cs="Calibri" w:eastAsia="Calibri" w:hAnsi="Calibri"/>
          <w:color w:val="2B2B2B"/>
          <w:sz w:val="22"/>
          <w:szCs w:val="22"/>
        </w:rPr>
        <w:t xml:space="preserve">Por que o TDAH costuma ser mascarado na infância, especialmente em mulheres?</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Por adaptações compensatórias que escondem o prejuízo funcional por anos</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Porque mulheres nunca desenvolvem TDAH</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Porque o TDAH surge exclusivamente na vida adulta em mulheres</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Porque não há qualquer diferença de apresentação entre gêneros</w:t>
      </w:r>
    </w:p>
    <w:p>
      <w:pPr>
        <w:spacing w:after="80" w:before="260"/>
      </w:pPr>
      <w:r>
        <w:rPr>
          <w:rFonts w:ascii="Calibri" w:cs="Calibri" w:eastAsia="Calibri" w:hAnsi="Calibri"/>
          <w:b/>
          <w:bCs/>
          <w:color w:val="C1652F"/>
          <w:sz w:val="22"/>
          <w:szCs w:val="22"/>
        </w:rPr>
        <w:t xml:space="preserve">7. </w:t>
      </w:r>
      <w:r>
        <w:rPr>
          <w:rFonts w:ascii="Calibri" w:cs="Calibri" w:eastAsia="Calibri" w:hAnsi="Calibri"/>
          <w:color w:val="2B2B2B"/>
          <w:sz w:val="22"/>
          <w:szCs w:val="22"/>
        </w:rPr>
        <w:t xml:space="preserve">Na vida adulta, a hiperatividade do TDAH costuma se manifestar como: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Inquietação interna, mais sutil que a agitação motora da infância</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Agitação motora idêntica à observada na infância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Ausência completa de qualquer sintoma de hiperatividade</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Exclusivamente como comportamento agressivo</w:t>
      </w:r>
    </w:p>
    <w:p>
      <w:pPr>
        <w:spacing w:after="80" w:before="260"/>
      </w:pPr>
      <w:r>
        <w:rPr>
          <w:rFonts w:ascii="Calibri" w:cs="Calibri" w:eastAsia="Calibri" w:hAnsi="Calibri"/>
          <w:b/>
          <w:bCs/>
          <w:color w:val="C1652F"/>
          <w:sz w:val="22"/>
          <w:szCs w:val="22"/>
        </w:rPr>
        <w:t xml:space="preserve">8. </w:t>
      </w:r>
      <w:r>
        <w:rPr>
          <w:rFonts w:ascii="Calibri" w:cs="Calibri" w:eastAsia="Calibri" w:hAnsi="Calibri"/>
          <w:color w:val="2B2B2B"/>
          <w:sz w:val="22"/>
          <w:szCs w:val="22"/>
        </w:rPr>
        <w:t xml:space="preserve">O passo 1 do protocolo (reformular a autoimagem) é descrito como: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Frequentemente o primeiro passo, antes mesmo das estratégias práticas de organização</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Desnecessário, pois a autoimagem não tem relação com o tratamento</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O último passo do protocolo, depois de todos os outros</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Uma etapa exclusivamente farmacológica</w:t>
      </w:r>
    </w:p>
    <w:p>
      <w:pPr>
        <w:spacing w:after="80" w:before="260"/>
      </w:pPr>
      <w:r>
        <w:rPr>
          <w:rFonts w:ascii="Calibri" w:cs="Calibri" w:eastAsia="Calibri" w:hAnsi="Calibri"/>
          <w:b/>
          <w:bCs/>
          <w:color w:val="C1652F"/>
          <w:sz w:val="22"/>
          <w:szCs w:val="22"/>
        </w:rPr>
        <w:t xml:space="preserve">9. </w:t>
      </w:r>
      <w:r>
        <w:rPr>
          <w:rFonts w:ascii="Calibri" w:cs="Calibri" w:eastAsia="Calibri" w:hAnsi="Calibri"/>
          <w:color w:val="2B2B2B"/>
          <w:sz w:val="22"/>
          <w:szCs w:val="22"/>
        </w:rPr>
        <w:t xml:space="preserve">Antes de confirmar TDAH isolado, o módulo recomenda sempre descartar:</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Transtorno Bipolar (Módulo 4.20), dada a sobreposição de sintomas de impulsividade</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Transtorno Dismórfico Corporal, sem qualquer relação com o quadro</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Fobia específica, sem qualquer sobreposição de sintomas</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Nenhum outro diagnóstico precisa ser descartado</w:t>
      </w:r>
    </w:p>
    <w:p>
      <w:pPr>
        <w:spacing w:after="80" w:before="260"/>
      </w:pPr>
      <w:r>
        <w:rPr>
          <w:rFonts w:ascii="Calibri" w:cs="Calibri" w:eastAsia="Calibri" w:hAnsi="Calibri"/>
          <w:b/>
          <w:bCs/>
          <w:color w:val="C1652F"/>
          <w:sz w:val="22"/>
          <w:szCs w:val="22"/>
        </w:rPr>
        <w:t xml:space="preserve">10. </w:t>
      </w:r>
      <w:r>
        <w:rPr>
          <w:rFonts w:ascii="Calibri" w:cs="Calibri" w:eastAsia="Calibri" w:hAnsi="Calibri"/>
          <w:color w:val="2B2B2B"/>
          <w:sz w:val="22"/>
          <w:szCs w:val="22"/>
        </w:rPr>
        <w:t xml:space="preserve">A confirmação diagnóstica robusta do TDAH em adultos geralmente requer:</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Avaliação neuropsicológica formal, além da triagem inicial</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Apenas uma conversa informal, sem qualquer instrumento estruturado</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Exclusivamente exames de imagem cerebral</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Nenhuma avaliação adicional além da queixa do paciente</w:t>
      </w:r>
    </w:p>
    <w:p>
      <w:r>
        <w:br w:type="page"/>
      </w:r>
    </w:p>
    <w:p>
      <w:pPr>
        <w:pStyle w:val="Heading1"/>
        <w:spacing w:after="160" w:before="380"/>
      </w:pPr>
      <w:r>
        <w:rPr>
          <w:rFonts w:ascii="Cambria" w:cs="Cambria" w:eastAsia="Cambria" w:hAnsi="Cambria"/>
          <w:b/>
          <w:bCs/>
          <w:color w:val="12283D"/>
          <w:sz w:val="27"/>
          <w:szCs w:val="27"/>
        </w:rPr>
        <w:t xml:space="preserve">Parte 2 — Questão de caso (40 pontos)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r>
              <w:rPr>
                <w:rFonts w:ascii="Calibri" w:cs="Calibri" w:eastAsia="Calibri" w:hAnsi="Calibri"/>
                <w:i/>
                <w:iCs/>
                <w:color w:val="2B2B2B"/>
                <w:sz w:val="22"/>
                <w:szCs w:val="22"/>
              </w:rPr>
              <w:t xml:space="preserve">Rodrigo, 29 anos, relata que "nunca consegue terminar nada", tem uma lista enorme de projetos pessoais abandonados, e foi chamado de "disperso" a vida inteira pela família. Diz que sempre se sentiu "menos capaz" que os colegas, apesar de ser reconhecido como criativo no trabalho. Nunca foi avaliado formalmente, mas relata que desde criança tinha dificuldade de prestar atenção em aula, mesmo em matérias que gostava.</w:t>
            </w:r>
          </w:p>
        </w:tc>
      </w:tr>
    </w:tbl>
    <w:p>
      <w:pPr>
        <w:spacing w:before="240"/>
      </w:pPr>
      <w:r>
        <w:rPr>
          <w:rFonts w:ascii="Calibri" w:cs="Calibri" w:eastAsia="Calibri" w:hAnsi="Calibri"/>
          <w:b/>
          <w:bCs/>
          <w:color w:val="2B2B2B"/>
          <w:sz w:val="22"/>
          <w:szCs w:val="22"/>
        </w:rPr>
        <w:t xml:space="preserve">Com base no protocolo estudado, responda:</w:t>
      </w:r>
    </w:p>
    <w:p>
      <w:pPr>
        <w:spacing w:after="40" w:before="220"/>
      </w:pPr>
      <w:r>
        <w:rPr>
          <w:rFonts w:ascii="Calibri" w:cs="Calibri" w:eastAsia="Calibri" w:hAnsi="Calibri"/>
          <w:b/>
          <w:bCs/>
          <w:color w:val="2B2B2B"/>
          <w:sz w:val="22"/>
          <w:szCs w:val="22"/>
        </w:rPr>
        <w:t xml:space="preserve">a) (10 pts) Que elementos da vinheta sustentam a hipótese de TDAH?</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b) (10 pts) Por que a fala "me sentia menos capaz que os colegas" é relevante pro passo 1 do protocolo?</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c) (10 pts) Que encaminhamento você faria pra confirmar o diagnóstico de forma robusta?</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d) (10 pts) Sugira uma estratégia de estruturação externa (passo 2) pra lidar com os projetos abandonados.</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r>
        <w:br w:type="page"/>
      </w:r>
    </w:p>
    <w:p>
      <w:pPr>
        <w:spacing w:after="40"/>
      </w:pPr>
      <w:r>
        <w:rPr>
          <w:rFonts w:ascii="Calibri" w:cs="Calibri" w:eastAsia="Calibri" w:hAnsi="Calibri"/>
          <w:b/>
          <w:bCs/>
          <w:color w:val="C1652F"/>
          <w:sz w:val="20"/>
          <w:szCs w:val="20"/>
        </w:rPr>
        <w:t xml:space="preserve">USO EXCLUSIVO DO INSTRUTOR — remover antes de aplicar a prova</w:t>
      </w:r>
    </w:p>
    <w:p>
      <w:pPr>
        <w:pStyle w:val="Heading1"/>
        <w:spacing w:after="160" w:before="380"/>
      </w:pPr>
      <w:r>
        <w:rPr>
          <w:rFonts w:ascii="Cambria" w:cs="Cambria" w:eastAsia="Cambria" w:hAnsi="Cambria"/>
          <w:b/>
          <w:bCs/>
          <w:color w:val="12283D"/>
          <w:sz w:val="27"/>
          <w:szCs w:val="27"/>
        </w:rPr>
        <w:t xml:space="preserve">Gabarito</w:t>
      </w:r>
    </w:p>
    <w:p>
      <w:pPr>
        <w:spacing w:after="100" w:before="100"/>
      </w:pPr>
      <w:r>
        <w:rPr>
          <w:rFonts w:ascii="Calibri" w:cs="Calibri" w:eastAsia="Calibri" w:hAnsi="Calibri"/>
          <w:b/>
          <w:bCs/>
          <w:color w:val="12283D"/>
          <w:sz w:val="23"/>
          <w:szCs w:val="23"/>
        </w:rPr>
        <w:t xml:space="preserve">Parte 1 — Questões objetivas</w:t>
      </w:r>
    </w:p>
    <w:p>
      <w:pPr>
        <w:spacing w:after="200"/>
      </w:pPr>
      <w:r>
        <w:rPr>
          <w:rFonts w:ascii="Calibri" w:cs="Calibri" w:eastAsia="Calibri" w:hAnsi="Calibri"/>
          <w:color w:val="2B2B2B"/>
          <w:sz w:val="22"/>
          <w:szCs w:val="22"/>
        </w:rPr>
        <w:t xml:space="preserve">1-a   ·   2-a   ·   3-a   ·   4-a   ·   5-a   ·   6-a   ·   7-a   ·   8-a   ·   9-a   ·   10-a</w:t>
      </w:r>
    </w:p>
    <w:p>
      <w:pPr>
        <w:spacing w:after="100" w:before="100"/>
      </w:pPr>
      <w:r>
        <w:rPr>
          <w:rFonts w:ascii="Calibri" w:cs="Calibri" w:eastAsia="Calibri" w:hAnsi="Calibri"/>
          <w:b/>
          <w:bCs/>
          <w:color w:val="12283D"/>
          <w:sz w:val="23"/>
          <w:szCs w:val="23"/>
        </w:rPr>
        <w:t xml:space="preserve">Parte 2 — Critério de correção da questão de caso</w:t>
      </w:r>
    </w:p>
    <w:p>
      <w:pPr>
        <w:spacing w:after="100"/>
      </w:pPr>
      <w:r>
        <w:rPr>
          <w:rFonts w:ascii="Calibri" w:cs="Calibri" w:eastAsia="Calibri" w:hAnsi="Calibri"/>
          <w:b/>
          <w:bCs/>
          <w:color w:val="12283D"/>
          <w:sz w:val="21"/>
          <w:szCs w:val="21"/>
        </w:rPr>
        <w:t xml:space="preserve">a) </w:t>
      </w:r>
      <w:r>
        <w:rPr>
          <w:rFonts w:ascii="Calibri" w:cs="Calibri" w:eastAsia="Calibri" w:hAnsi="Calibri"/>
          <w:color w:val="2B2B2B"/>
          <w:sz w:val="21"/>
          <w:szCs w:val="21"/>
        </w:rPr>
        <w:t xml:space="preserve">Dificuldade crônica de finalizar tarefas, múltiplos projetos abandonados, histórico desde a infância (dificuldade de prestar atenção mesmo em matérias que gostava), rótulo de "disperso" desde cedo.</w:t>
      </w:r>
    </w:p>
    <w:p>
      <w:pPr>
        <w:spacing w:after="100"/>
      </w:pPr>
      <w:r>
        <w:rPr>
          <w:rFonts w:ascii="Calibri" w:cs="Calibri" w:eastAsia="Calibri" w:hAnsi="Calibri"/>
          <w:b/>
          <w:bCs/>
          <w:color w:val="12283D"/>
          <w:sz w:val="21"/>
          <w:szCs w:val="21"/>
        </w:rPr>
        <w:t xml:space="preserve">b) </w:t>
      </w:r>
      <w:r>
        <w:rPr>
          <w:rFonts w:ascii="Calibri" w:cs="Calibri" w:eastAsia="Calibri" w:hAnsi="Calibri"/>
          <w:color w:val="2B2B2B"/>
          <w:sz w:val="21"/>
          <w:szCs w:val="21"/>
        </w:rPr>
        <w:t xml:space="preserve">Porque ilustra o impacto emocional acumulado de anos de autocrítica, que precisa ser reformulado como consequência de um circuito de atenção diferente, não como falha pessoal, antes de avançar pras estratégias práticas.</w:t>
      </w:r>
    </w:p>
    <w:p>
      <w:pPr>
        <w:spacing w:after="100"/>
      </w:pPr>
      <w:r>
        <w:rPr>
          <w:rFonts w:ascii="Calibri" w:cs="Calibri" w:eastAsia="Calibri" w:hAnsi="Calibri"/>
          <w:b/>
          <w:bCs/>
          <w:color w:val="12283D"/>
          <w:sz w:val="21"/>
          <w:szCs w:val="21"/>
        </w:rPr>
        <w:t xml:space="preserve">c) </w:t>
      </w:r>
      <w:r>
        <w:rPr>
          <w:rFonts w:ascii="Calibri" w:cs="Calibri" w:eastAsia="Calibri" w:hAnsi="Calibri"/>
          <w:color w:val="2B2B2B"/>
          <w:sz w:val="21"/>
          <w:szCs w:val="21"/>
        </w:rPr>
        <w:t xml:space="preserve">Avaliação neuropsicológica formal pra confirmação diagnóstica robusta, e avaliação psiquiátrica pra discutir eventual indicação de farmacoterapia.</w:t>
      </w:r>
    </w:p>
    <w:p>
      <w:pPr>
        <w:spacing w:after="100"/>
      </w:pPr>
      <w:r>
        <w:rPr>
          <w:rFonts w:ascii="Calibri" w:cs="Calibri" w:eastAsia="Calibri" w:hAnsi="Calibri"/>
          <w:b/>
          <w:bCs/>
          <w:color w:val="12283D"/>
          <w:sz w:val="21"/>
          <w:szCs w:val="21"/>
        </w:rPr>
        <w:t xml:space="preserve">d) </w:t>
      </w:r>
      <w:r>
        <w:rPr>
          <w:rFonts w:ascii="Calibri" w:cs="Calibri" w:eastAsia="Calibri" w:hAnsi="Calibri"/>
          <w:color w:val="2B2B2B"/>
          <w:sz w:val="21"/>
          <w:szCs w:val="21"/>
        </w:rPr>
        <w:t xml:space="preserve">Ex: reduzir o número de projetos simultâneos, usar um sistema visual simples de acompanhamento com marcos pequenos e lembretes externos, evitando sistemas complexos demais que tendem a ser abandonados.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157"/>
        <w:sz w:val="16"/>
        <w:szCs w:val="16"/>
      </w:rPr>
      <w:t xml:space="preserve">Módulo 4.22 — TDAH em Adultos · página </w:t>
    </w:r>
    <w:r>
      <w:rPr>
        <w:rFonts w:ascii="Calibri" w:cs="Calibri" w:eastAsia="Calibri" w:hAnsi="Calibri"/>
        <w:color w:val="6B61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157"/>
        <w:sz w:val="16"/>
        <w:szCs w:val="16"/>
      </w:rPr>
      <w:t xml:space="preserve">Formação em Neurociência Aplicada à Psicoterapia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2026-07-10T02:22:02.543Z</dcterms:created>
  <dcterms:modified xsi:type="dcterms:W3CDTF">2026-07-10T02:22:02.543Z</dcterms:modified>
</cp:coreProperties>
</file>

<file path=docProps/custom.xml><?xml version="1.0" encoding="utf-8"?>
<Properties xmlns="http://schemas.openxmlformats.org/officeDocument/2006/custom-properties" xmlns:vt="http://schemas.openxmlformats.org/officeDocument/2006/docPropsVTypes"/>
</file>