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C1652F"/>
          <w:sz w:val="18"/>
          <w:szCs w:val="18"/>
        </w:rPr>
        <w:t xml:space="preserve">MÓDULO 4.9 · PROTOCOLOS CLÍNICOS DIRETOS AO PONTO</w:t>
      </w:r>
    </w:p>
    <w:p>
      <w:pPr>
        <w:spacing w:after="160"/>
      </w:pPr>
      <w:r>
        <w:rPr>
          <w:rFonts w:ascii="Cambria" w:cs="Cambria" w:eastAsia="Cambria" w:hAnsi="Cambria"/>
          <w:b/>
          <w:bCs/>
          <w:color w:val="12283D"/>
          <w:sz w:val="44"/>
          <w:szCs w:val="44"/>
        </w:rPr>
        <w:t xml:space="preserve">Avaliação — Risco de Suicídio</w:t>
      </w:r>
    </w:p>
    <w:p>
      <w:pPr>
        <w:spacing w:after="200" w:before="60"/>
      </w:pPr>
      <w:r>
        <w:rPr>
          <w:rFonts w:ascii="Calibri" w:cs="Calibri" w:eastAsia="Calibri" w:hAnsi="Calibri"/>
          <w:i/>
          <w:iCs/>
          <w:color w:val="6B6157"/>
          <w:sz w:val="21"/>
          <w:szCs w:val="21"/>
        </w:rPr>
        <w:t xml:space="preserve">Avaliação formativa de encerramento do Módulo 4.9.</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5F1EA" w:val="clear"/>
            <w:tcMar>
              <w:top w:type="dxa" w:w="160"/>
              <w:left w:type="dxa" w:w="200"/>
              <w:bottom w:type="dxa" w:w="160"/>
              <w:right w:type="dxa" w:w="200"/>
            </w:tcMar>
          </w:tcPr>
          <w:p>
            <w:pPr>
              <w:spacing w:after="60"/>
            </w:pPr>
            <w:r>
              <w:rPr>
                <w:rFonts w:ascii="Calibri" w:cs="Calibri" w:eastAsia="Calibri" w:hAnsi="Calibri"/>
                <w:b/>
                <w:bCs/>
                <w:color w:val="12283D"/>
                <w:sz w:val="20"/>
                <w:szCs w:val="20"/>
              </w:rPr>
              <w:t xml:space="preserve">Nota de corte:  </w:t>
            </w:r>
            <w:r>
              <w:rPr>
                <w:rFonts w:ascii="Calibri" w:cs="Calibri" w:eastAsia="Calibri" w:hAnsi="Calibri"/>
                <w:color w:val="2B2B2B"/>
                <w:sz w:val="20"/>
                <w:szCs w:val="20"/>
              </w:rPr>
              <w:t xml:space="preserve">80 de 100 pontos (nota de corte mais alta, dada a criticidade do tema)</w:t>
            </w:r>
          </w:p>
          <w:p>
            <w:pPr>
              <w:spacing w:after="60"/>
            </w:pPr>
            <w:r>
              <w:rPr>
                <w:rFonts w:ascii="Calibri" w:cs="Calibri" w:eastAsia="Calibri" w:hAnsi="Calibri"/>
                <w:b/>
                <w:bCs/>
                <w:color w:val="12283D"/>
                <w:sz w:val="20"/>
                <w:szCs w:val="20"/>
              </w:rPr>
              <w:t xml:space="preserve">Tempo sugerido:  </w:t>
            </w:r>
            <w:r>
              <w:rPr>
                <w:rFonts w:ascii="Calibri" w:cs="Calibri" w:eastAsia="Calibri" w:hAnsi="Calibri"/>
                <w:color w:val="2B2B2B"/>
                <w:sz w:val="20"/>
                <w:szCs w:val="20"/>
              </w:rPr>
              <w:t xml:space="preserve">45 minutos</w:t>
            </w:r>
          </w:p>
          <w:p>
            <w:pPr>
              <w:spacing w:after="60"/>
            </w:pPr>
            <w:r>
              <w:rPr>
                <w:rFonts w:ascii="Calibri" w:cs="Calibri" w:eastAsia="Calibri" w:hAnsi="Calibri"/>
                <w:b/>
                <w:bCs/>
                <w:color w:val="12283D"/>
                <w:sz w:val="20"/>
                <w:szCs w:val="20"/>
              </w:rPr>
              <w:t xml:space="preserve">Composição:  </w:t>
            </w:r>
            <w:r>
              <w:rPr>
                <w:rFonts w:ascii="Calibri" w:cs="Calibri" w:eastAsia="Calibri" w:hAnsi="Calibri"/>
                <w:color w:val="2B2B2B"/>
                <w:sz w:val="20"/>
                <w:szCs w:val="20"/>
              </w:rPr>
              <w:t xml:space="preserve">10 questões objetivas (6 pts cada = 60 pts) + 1 questão de caso (40 pts)</w:t>
            </w:r>
          </w:p>
          <w:p>
            <w:pPr>
              <w:spacing w:after="60"/>
            </w:pPr>
            <w:r>
              <w:rPr>
                <w:rFonts w:ascii="Calibri" w:cs="Calibri" w:eastAsia="Calibri" w:hAnsi="Calibri"/>
                <w:b/>
                <w:bCs/>
                <w:color w:val="12283D"/>
                <w:sz w:val="20"/>
                <w:szCs w:val="20"/>
              </w:rPr>
              <w:t xml:space="preserve">Consulta:  </w:t>
            </w:r>
            <w:r>
              <w:rPr>
                <w:rFonts w:ascii="Calibri" w:cs="Calibri" w:eastAsia="Calibri" w:hAnsi="Calibri"/>
                <w:color w:val="2B2B2B"/>
                <w:sz w:val="20"/>
                <w:szCs w:val="20"/>
              </w:rPr>
              <w:t xml:space="preserve">Material da aula permitido; discussão entre colegas, não</w:t>
            </w:r>
          </w:p>
        </w:tc>
      </w:tr>
    </w:tbl>
    <w:p>
      <w:pPr>
        <w:pStyle w:val="Heading1"/>
        <w:spacing w:after="160" w:before="380"/>
      </w:pPr>
      <w:r>
        <w:rPr>
          <w:rFonts w:ascii="Cambria" w:cs="Cambria" w:eastAsia="Cambria" w:hAnsi="Cambria"/>
          <w:b/>
          <w:bCs/>
          <w:color w:val="12283D"/>
          <w:sz w:val="27"/>
          <w:szCs w:val="27"/>
        </w:rPr>
        <w:t xml:space="preserve">Parte 1 — Questões objetivas</w:t>
      </w:r>
    </w:p>
    <w:p>
      <w:pPr>
        <w:spacing w:after="80" w:before="260"/>
      </w:pPr>
      <w:r>
        <w:rPr>
          <w:rFonts w:ascii="Calibri" w:cs="Calibri" w:eastAsia="Calibri" w:hAnsi="Calibri"/>
          <w:b/>
          <w:bCs/>
          <w:color w:val="C1652F"/>
          <w:sz w:val="22"/>
          <w:szCs w:val="22"/>
        </w:rPr>
        <w:t xml:space="preserve">1. </w:t>
      </w:r>
      <w:r>
        <w:rPr>
          <w:rFonts w:ascii="Calibri" w:cs="Calibri" w:eastAsia="Calibri" w:hAnsi="Calibri"/>
          <w:color w:val="2B2B2B"/>
          <w:sz w:val="22"/>
          <w:szCs w:val="22"/>
        </w:rPr>
        <w:t xml:space="preserve">Segundo a Teoria Interpessoal do Suicídio (Joiner), o desejo de morrer surge da combinação de:</w:t>
      </w:r>
    </w:p>
    <w:p>
      <w:pPr>
        <w:spacing w:after="40"/>
        <w:ind w:left="380"/>
      </w:pPr>
      <w:r>
        <w:rPr>
          <w:rFonts w:ascii="Calibri" w:cs="Calibri" w:eastAsia="Calibri" w:hAnsi="Calibri"/>
          <w:color w:val="2B2B2B"/>
          <w:sz w:val="21"/>
          <w:szCs w:val="21"/>
        </w:rPr>
        <w:t xml:space="preserve">a) </w:t>
      </w:r>
      <w:r>
        <w:rPr>
          <w:rFonts w:ascii="Calibri" w:cs="Calibri" w:eastAsia="Calibri" w:hAnsi="Calibri"/>
          <w:color w:val="2B2B2B"/>
          <w:sz w:val="21"/>
          <w:szCs w:val="21"/>
        </w:rPr>
        <w:t xml:space="preserve">Pertencimento frustrado e fardo percebido</w:t>
      </w:r>
    </w:p>
    <w:p>
      <w:pPr>
        <w:spacing w:after="40"/>
        <w:ind w:left="380"/>
      </w:pPr>
      <w:r>
        <w:rPr>
          <w:rFonts w:ascii="Calibri" w:cs="Calibri" w:eastAsia="Calibri" w:hAnsi="Calibri"/>
          <w:color w:val="2B2B2B"/>
          <w:sz w:val="21"/>
          <w:szCs w:val="21"/>
        </w:rPr>
        <w:t xml:space="preserve">b) </w:t>
      </w:r>
      <w:r>
        <w:rPr>
          <w:rFonts w:ascii="Calibri" w:cs="Calibri" w:eastAsia="Calibri" w:hAnsi="Calibri"/>
          <w:color w:val="2B2B2B"/>
          <w:sz w:val="21"/>
          <w:szCs w:val="21"/>
        </w:rPr>
        <w:t xml:space="preserve">Apenas tristeza intensa</w:t>
      </w:r>
    </w:p>
    <w:p>
      <w:pPr>
        <w:spacing w:after="40"/>
        <w:ind w:left="380"/>
      </w:pPr>
      <w:r>
        <w:rPr>
          <w:rFonts w:ascii="Calibri" w:cs="Calibri" w:eastAsia="Calibri" w:hAnsi="Calibri"/>
          <w:color w:val="2B2B2B"/>
          <w:sz w:val="21"/>
          <w:szCs w:val="21"/>
        </w:rPr>
        <w:t xml:space="preserve">c) </w:t>
      </w:r>
      <w:r>
        <w:rPr>
          <w:rFonts w:ascii="Calibri" w:cs="Calibri" w:eastAsia="Calibri" w:hAnsi="Calibri"/>
          <w:color w:val="2B2B2B"/>
          <w:sz w:val="21"/>
          <w:szCs w:val="21"/>
        </w:rPr>
        <w:t xml:space="preserve">Apenas impulsividade</w:t>
      </w:r>
    </w:p>
    <w:p>
      <w:pPr>
        <w:spacing w:after="40"/>
        <w:ind w:left="380"/>
      </w:pPr>
      <w:r>
        <w:rPr>
          <w:rFonts w:ascii="Calibri" w:cs="Calibri" w:eastAsia="Calibri" w:hAnsi="Calibri"/>
          <w:color w:val="2B2B2B"/>
          <w:sz w:val="21"/>
          <w:szCs w:val="21"/>
        </w:rPr>
        <w:t xml:space="preserve">d) </w:t>
      </w:r>
      <w:r>
        <w:rPr>
          <w:rFonts w:ascii="Calibri" w:cs="Calibri" w:eastAsia="Calibri" w:hAnsi="Calibri"/>
          <w:color w:val="2B2B2B"/>
          <w:sz w:val="21"/>
          <w:szCs w:val="21"/>
        </w:rPr>
        <w:t xml:space="preserve">Uso de substâncias isolado</w:t>
      </w:r>
    </w:p>
    <w:p>
      <w:pPr>
        <w:spacing w:after="80" w:before="260"/>
      </w:pPr>
      <w:r>
        <w:rPr>
          <w:rFonts w:ascii="Calibri" w:cs="Calibri" w:eastAsia="Calibri" w:hAnsi="Calibri"/>
          <w:b/>
          <w:bCs/>
          <w:color w:val="C1652F"/>
          <w:sz w:val="22"/>
          <w:szCs w:val="22"/>
        </w:rPr>
        <w:t xml:space="preserve">2. </w:t>
      </w:r>
      <w:r>
        <w:rPr>
          <w:rFonts w:ascii="Calibri" w:cs="Calibri" w:eastAsia="Calibri" w:hAnsi="Calibri"/>
          <w:color w:val="2B2B2B"/>
          <w:sz w:val="22"/>
          <w:szCs w:val="22"/>
        </w:rPr>
        <w:t xml:space="preserve">A "capacidade adquirida", na mesma teoria, se refere a:</w:t>
      </w:r>
    </w:p>
    <w:p>
      <w:pPr>
        <w:spacing w:after="40"/>
        <w:ind w:left="380"/>
      </w:pPr>
      <w:r>
        <w:rPr>
          <w:rFonts w:ascii="Calibri" w:cs="Calibri" w:eastAsia="Calibri" w:hAnsi="Calibri"/>
          <w:color w:val="2B2B2B"/>
          <w:sz w:val="21"/>
          <w:szCs w:val="21"/>
        </w:rPr>
        <w:t xml:space="preserve">a) </w:t>
      </w:r>
      <w:r>
        <w:rPr>
          <w:rFonts w:ascii="Calibri" w:cs="Calibri" w:eastAsia="Calibri" w:hAnsi="Calibri"/>
          <w:color w:val="2B2B2B"/>
          <w:sz w:val="21"/>
          <w:szCs w:val="21"/>
        </w:rPr>
        <w:t xml:space="preserve">Habilidade acadêmica ou profissional</w:t>
      </w:r>
    </w:p>
    <w:p>
      <w:pPr>
        <w:spacing w:after="40"/>
        <w:ind w:left="380"/>
      </w:pPr>
      <w:r>
        <w:rPr>
          <w:rFonts w:ascii="Calibri" w:cs="Calibri" w:eastAsia="Calibri" w:hAnsi="Calibri"/>
          <w:color w:val="2B2B2B"/>
          <w:sz w:val="21"/>
          <w:szCs w:val="21"/>
        </w:rPr>
        <w:t xml:space="preserve">b) </w:t>
      </w:r>
      <w:r>
        <w:rPr>
          <w:rFonts w:ascii="Calibri" w:cs="Calibri" w:eastAsia="Calibri" w:hAnsi="Calibri"/>
          <w:color w:val="2B2B2B"/>
          <w:sz w:val="21"/>
          <w:szCs w:val="21"/>
        </w:rPr>
        <w:t xml:space="preserve">Habituação à dor e ao medo da morte, muitas vezes por exposição prévia (autolesão, trauma)</w:t>
      </w:r>
    </w:p>
    <w:p>
      <w:pPr>
        <w:spacing w:after="40"/>
        <w:ind w:left="380"/>
      </w:pPr>
      <w:r>
        <w:rPr>
          <w:rFonts w:ascii="Calibri" w:cs="Calibri" w:eastAsia="Calibri" w:hAnsi="Calibri"/>
          <w:color w:val="2B2B2B"/>
          <w:sz w:val="21"/>
          <w:szCs w:val="21"/>
        </w:rPr>
        <w:t xml:space="preserve">c) </w:t>
      </w:r>
      <w:r>
        <w:rPr>
          <w:rFonts w:ascii="Calibri" w:cs="Calibri" w:eastAsia="Calibri" w:hAnsi="Calibri"/>
          <w:color w:val="2B2B2B"/>
          <w:sz w:val="21"/>
          <w:szCs w:val="21"/>
        </w:rPr>
        <w:t xml:space="preserve">Capacidade financeira do paciente</w:t>
      </w:r>
    </w:p>
    <w:p>
      <w:pPr>
        <w:spacing w:after="40"/>
        <w:ind w:left="380"/>
      </w:pPr>
      <w:r>
        <w:rPr>
          <w:rFonts w:ascii="Calibri" w:cs="Calibri" w:eastAsia="Calibri" w:hAnsi="Calibri"/>
          <w:color w:val="2B2B2B"/>
          <w:sz w:val="21"/>
          <w:szCs w:val="21"/>
        </w:rPr>
        <w:t xml:space="preserve">d) </w:t>
      </w:r>
      <w:r>
        <w:rPr>
          <w:rFonts w:ascii="Calibri" w:cs="Calibri" w:eastAsia="Calibri" w:hAnsi="Calibri"/>
          <w:color w:val="2B2B2B"/>
          <w:sz w:val="21"/>
          <w:szCs w:val="21"/>
        </w:rPr>
        <w:t xml:space="preserve">Um fator sem relação com risco de tentativa</w:t>
      </w:r>
    </w:p>
    <w:p>
      <w:pPr>
        <w:spacing w:after="80" w:before="260"/>
      </w:pPr>
      <w:r>
        <w:rPr>
          <w:rFonts w:ascii="Calibri" w:cs="Calibri" w:eastAsia="Calibri" w:hAnsi="Calibri"/>
          <w:b/>
          <w:bCs/>
          <w:color w:val="C1652F"/>
          <w:sz w:val="22"/>
          <w:szCs w:val="22"/>
        </w:rPr>
        <w:t xml:space="preserve">3. </w:t>
      </w:r>
      <w:r>
        <w:rPr>
          <w:rFonts w:ascii="Calibri" w:cs="Calibri" w:eastAsia="Calibri" w:hAnsi="Calibri"/>
          <w:color w:val="2B2B2B"/>
          <w:sz w:val="22"/>
          <w:szCs w:val="22"/>
        </w:rPr>
        <w:t xml:space="preserve">Perguntar diretamente sobre suicídio:</w:t>
      </w:r>
    </w:p>
    <w:p>
      <w:pPr>
        <w:spacing w:after="40"/>
        <w:ind w:left="380"/>
      </w:pPr>
      <w:r>
        <w:rPr>
          <w:rFonts w:ascii="Calibri" w:cs="Calibri" w:eastAsia="Calibri" w:hAnsi="Calibri"/>
          <w:color w:val="2B2B2B"/>
          <w:sz w:val="21"/>
          <w:szCs w:val="21"/>
        </w:rPr>
        <w:t xml:space="preserve">a) </w:t>
      </w:r>
      <w:r>
        <w:rPr>
          <w:rFonts w:ascii="Calibri" w:cs="Calibri" w:eastAsia="Calibri" w:hAnsi="Calibri"/>
          <w:color w:val="2B2B2B"/>
          <w:sz w:val="21"/>
          <w:szCs w:val="21"/>
        </w:rPr>
        <w:t xml:space="preserve">Aumenta o risco de "plantar a ideia"</w:t>
      </w:r>
    </w:p>
    <w:p>
      <w:pPr>
        <w:spacing w:after="40"/>
        <w:ind w:left="380"/>
      </w:pPr>
      <w:r>
        <w:rPr>
          <w:rFonts w:ascii="Calibri" w:cs="Calibri" w:eastAsia="Calibri" w:hAnsi="Calibri"/>
          <w:color w:val="2B2B2B"/>
          <w:sz w:val="21"/>
          <w:szCs w:val="21"/>
        </w:rPr>
        <w:t xml:space="preserve">b) </w:t>
      </w:r>
      <w:r>
        <w:rPr>
          <w:rFonts w:ascii="Calibri" w:cs="Calibri" w:eastAsia="Calibri" w:hAnsi="Calibri"/>
          <w:color w:val="2B2B2B"/>
          <w:sz w:val="21"/>
          <w:szCs w:val="21"/>
        </w:rPr>
        <w:t xml:space="preserve">Não aumenta o risco — geralmente é a primeira vez que a pessoa se sente segura pra falar sobre isso</w:t>
      </w:r>
    </w:p>
    <w:p>
      <w:pPr>
        <w:spacing w:after="40"/>
        <w:ind w:left="380"/>
      </w:pPr>
      <w:r>
        <w:rPr>
          <w:rFonts w:ascii="Calibri" w:cs="Calibri" w:eastAsia="Calibri" w:hAnsi="Calibri"/>
          <w:color w:val="2B2B2B"/>
          <w:sz w:val="21"/>
          <w:szCs w:val="21"/>
        </w:rPr>
        <w:t xml:space="preserve">c) </w:t>
      </w:r>
      <w:r>
        <w:rPr>
          <w:rFonts w:ascii="Calibri" w:cs="Calibri" w:eastAsia="Calibri" w:hAnsi="Calibri"/>
          <w:color w:val="2B2B2B"/>
          <w:sz w:val="21"/>
          <w:szCs w:val="21"/>
        </w:rPr>
        <w:t xml:space="preserve">Deve ser sempre evitado em qualquer contexto</w:t>
      </w:r>
    </w:p>
    <w:p>
      <w:pPr>
        <w:spacing w:after="40"/>
        <w:ind w:left="380"/>
      </w:pPr>
      <w:r>
        <w:rPr>
          <w:rFonts w:ascii="Calibri" w:cs="Calibri" w:eastAsia="Calibri" w:hAnsi="Calibri"/>
          <w:color w:val="2B2B2B"/>
          <w:sz w:val="21"/>
          <w:szCs w:val="21"/>
        </w:rPr>
        <w:t xml:space="preserve">d) </w:t>
      </w:r>
      <w:r>
        <w:rPr>
          <w:rFonts w:ascii="Calibri" w:cs="Calibri" w:eastAsia="Calibri" w:hAnsi="Calibri"/>
          <w:color w:val="2B2B2B"/>
          <w:sz w:val="21"/>
          <w:szCs w:val="21"/>
        </w:rPr>
        <w:t xml:space="preserve">Só pode ser feito por psiquiatras</w:t>
      </w:r>
    </w:p>
    <w:p>
      <w:pPr>
        <w:spacing w:after="80" w:before="260"/>
      </w:pPr>
      <w:r>
        <w:rPr>
          <w:rFonts w:ascii="Calibri" w:cs="Calibri" w:eastAsia="Calibri" w:hAnsi="Calibri"/>
          <w:b/>
          <w:bCs/>
          <w:color w:val="C1652F"/>
          <w:sz w:val="22"/>
          <w:szCs w:val="22"/>
        </w:rPr>
        <w:t xml:space="preserve">4. </w:t>
      </w:r>
      <w:r>
        <w:rPr>
          <w:rFonts w:ascii="Calibri" w:cs="Calibri" w:eastAsia="Calibri" w:hAnsi="Calibri"/>
          <w:color w:val="2B2B2B"/>
          <w:sz w:val="22"/>
          <w:szCs w:val="22"/>
        </w:rPr>
        <w:t xml:space="preserve">Instrumento considerado padrão-ouro pra avaliação de risco de suicídio:</w:t>
      </w:r>
    </w:p>
    <w:p>
      <w:pPr>
        <w:spacing w:after="40"/>
        <w:ind w:left="380"/>
      </w:pPr>
      <w:r>
        <w:rPr>
          <w:rFonts w:ascii="Calibri" w:cs="Calibri" w:eastAsia="Calibri" w:hAnsi="Calibri"/>
          <w:color w:val="2B2B2B"/>
          <w:sz w:val="21"/>
          <w:szCs w:val="21"/>
        </w:rPr>
        <w:t xml:space="preserve">a) </w:t>
      </w:r>
      <w:r>
        <w:rPr>
          <w:rFonts w:ascii="Calibri" w:cs="Calibri" w:eastAsia="Calibri" w:hAnsi="Calibri"/>
          <w:color w:val="2B2B2B"/>
          <w:sz w:val="21"/>
          <w:szCs w:val="21"/>
        </w:rPr>
        <w:t xml:space="preserve">C-SSRS (Columbia-Suicide Severity Rating Scale)</w:t>
      </w:r>
    </w:p>
    <w:p>
      <w:pPr>
        <w:spacing w:after="40"/>
        <w:ind w:left="380"/>
      </w:pPr>
      <w:r>
        <w:rPr>
          <w:rFonts w:ascii="Calibri" w:cs="Calibri" w:eastAsia="Calibri" w:hAnsi="Calibri"/>
          <w:color w:val="2B2B2B"/>
          <w:sz w:val="21"/>
          <w:szCs w:val="21"/>
        </w:rPr>
        <w:t xml:space="preserve">b) </w:t>
      </w:r>
      <w:r>
        <w:rPr>
          <w:rFonts w:ascii="Calibri" w:cs="Calibri" w:eastAsia="Calibri" w:hAnsi="Calibri"/>
          <w:color w:val="2B2B2B"/>
          <w:sz w:val="21"/>
          <w:szCs w:val="21"/>
        </w:rPr>
        <w:t xml:space="preserve">BAI</w:t>
      </w:r>
    </w:p>
    <w:p>
      <w:pPr>
        <w:spacing w:after="40"/>
        <w:ind w:left="380"/>
      </w:pPr>
      <w:r>
        <w:rPr>
          <w:rFonts w:ascii="Calibri" w:cs="Calibri" w:eastAsia="Calibri" w:hAnsi="Calibri"/>
          <w:color w:val="2B2B2B"/>
          <w:sz w:val="21"/>
          <w:szCs w:val="21"/>
        </w:rPr>
        <w:t xml:space="preserve">c) </w:t>
      </w:r>
      <w:r>
        <w:rPr>
          <w:rFonts w:ascii="Calibri" w:cs="Calibri" w:eastAsia="Calibri" w:hAnsi="Calibri"/>
          <w:color w:val="2B2B2B"/>
          <w:sz w:val="21"/>
          <w:szCs w:val="21"/>
        </w:rPr>
        <w:t xml:space="preserve">MBI</w:t>
      </w:r>
    </w:p>
    <w:p>
      <w:pPr>
        <w:spacing w:after="40"/>
        <w:ind w:left="380"/>
      </w:pPr>
      <w:r>
        <w:rPr>
          <w:rFonts w:ascii="Calibri" w:cs="Calibri" w:eastAsia="Calibri" w:hAnsi="Calibri"/>
          <w:color w:val="2B2B2B"/>
          <w:sz w:val="21"/>
          <w:szCs w:val="21"/>
        </w:rPr>
        <w:t xml:space="preserve">d) </w:t>
      </w:r>
      <w:r>
        <w:rPr>
          <w:rFonts w:ascii="Calibri" w:cs="Calibri" w:eastAsia="Calibri" w:hAnsi="Calibri"/>
          <w:color w:val="2B2B2B"/>
          <w:sz w:val="21"/>
          <w:szCs w:val="21"/>
        </w:rPr>
        <w:t xml:space="preserve">Y-BOCS</w:t>
      </w:r>
    </w:p>
    <w:p>
      <w:pPr>
        <w:spacing w:after="80" w:before="260"/>
      </w:pPr>
      <w:r>
        <w:rPr>
          <w:rFonts w:ascii="Calibri" w:cs="Calibri" w:eastAsia="Calibri" w:hAnsi="Calibri"/>
          <w:b/>
          <w:bCs/>
          <w:color w:val="C1652F"/>
          <w:sz w:val="22"/>
          <w:szCs w:val="22"/>
        </w:rPr>
        <w:t xml:space="preserve">5. </w:t>
      </w:r>
      <w:r>
        <w:rPr>
          <w:rFonts w:ascii="Calibri" w:cs="Calibri" w:eastAsia="Calibri" w:hAnsi="Calibri"/>
          <w:color w:val="2B2B2B"/>
          <w:sz w:val="22"/>
          <w:szCs w:val="22"/>
        </w:rPr>
        <w:t xml:space="preserve">O "contrato de não-suicídio" (pedir pro paciente prometer não se matar):</w:t>
      </w:r>
    </w:p>
    <w:p>
      <w:pPr>
        <w:spacing w:after="40"/>
        <w:ind w:left="380"/>
      </w:pPr>
      <w:r>
        <w:rPr>
          <w:rFonts w:ascii="Calibri" w:cs="Calibri" w:eastAsia="Calibri" w:hAnsi="Calibri"/>
          <w:color w:val="2B2B2B"/>
          <w:sz w:val="21"/>
          <w:szCs w:val="21"/>
        </w:rPr>
        <w:t xml:space="preserve">a) </w:t>
      </w:r>
      <w:r>
        <w:rPr>
          <w:rFonts w:ascii="Calibri" w:cs="Calibri" w:eastAsia="Calibri" w:hAnsi="Calibri"/>
          <w:color w:val="2B2B2B"/>
          <w:sz w:val="21"/>
          <w:szCs w:val="21"/>
        </w:rPr>
        <w:t xml:space="preserve">É a prática atual recomendada com base em evidência</w:t>
      </w:r>
    </w:p>
    <w:p>
      <w:pPr>
        <w:spacing w:after="40"/>
        <w:ind w:left="380"/>
      </w:pPr>
      <w:r>
        <w:rPr>
          <w:rFonts w:ascii="Calibri" w:cs="Calibri" w:eastAsia="Calibri" w:hAnsi="Calibri"/>
          <w:color w:val="2B2B2B"/>
          <w:sz w:val="21"/>
          <w:szCs w:val="21"/>
        </w:rPr>
        <w:t xml:space="preserve">b) </w:t>
      </w:r>
      <w:r>
        <w:rPr>
          <w:rFonts w:ascii="Calibri" w:cs="Calibri" w:eastAsia="Calibri" w:hAnsi="Calibri"/>
          <w:color w:val="2B2B2B"/>
          <w:sz w:val="21"/>
          <w:szCs w:val="21"/>
        </w:rPr>
        <w:t xml:space="preserve">Não é baseado em evidência — o Plano de Segurança estruturado é a prática recomendada</w:t>
      </w:r>
    </w:p>
    <w:p>
      <w:pPr>
        <w:spacing w:after="40"/>
        <w:ind w:left="380"/>
      </w:pPr>
      <w:r>
        <w:rPr>
          <w:rFonts w:ascii="Calibri" w:cs="Calibri" w:eastAsia="Calibri" w:hAnsi="Calibri"/>
          <w:color w:val="2B2B2B"/>
          <w:sz w:val="21"/>
          <w:szCs w:val="21"/>
        </w:rPr>
        <w:t xml:space="preserve">c) </w:t>
      </w:r>
      <w:r>
        <w:rPr>
          <w:rFonts w:ascii="Calibri" w:cs="Calibri" w:eastAsia="Calibri" w:hAnsi="Calibri"/>
          <w:color w:val="2B2B2B"/>
          <w:sz w:val="21"/>
          <w:szCs w:val="21"/>
        </w:rPr>
        <w:t xml:space="preserve">Deve substituir qualquer outra forma de avaliação</w:t>
      </w:r>
    </w:p>
    <w:p>
      <w:pPr>
        <w:spacing w:after="40"/>
        <w:ind w:left="380"/>
      </w:pPr>
      <w:r>
        <w:rPr>
          <w:rFonts w:ascii="Calibri" w:cs="Calibri" w:eastAsia="Calibri" w:hAnsi="Calibri"/>
          <w:color w:val="2B2B2B"/>
          <w:sz w:val="21"/>
          <w:szCs w:val="21"/>
        </w:rPr>
        <w:t xml:space="preserve">d) </w:t>
      </w:r>
      <w:r>
        <w:rPr>
          <w:rFonts w:ascii="Calibri" w:cs="Calibri" w:eastAsia="Calibri" w:hAnsi="Calibri"/>
          <w:color w:val="2B2B2B"/>
          <w:sz w:val="21"/>
          <w:szCs w:val="21"/>
        </w:rPr>
        <w:t xml:space="preserve">É uma exigência legal em todo atendimento</w:t>
      </w:r>
    </w:p>
    <w:p>
      <w:pPr>
        <w:spacing w:after="80" w:before="260"/>
      </w:pPr>
      <w:r>
        <w:rPr>
          <w:rFonts w:ascii="Calibri" w:cs="Calibri" w:eastAsia="Calibri" w:hAnsi="Calibri"/>
          <w:b/>
          <w:bCs/>
          <w:color w:val="C1652F"/>
          <w:sz w:val="22"/>
          <w:szCs w:val="22"/>
        </w:rPr>
        <w:t xml:space="preserve">6. </w:t>
      </w:r>
      <w:r>
        <w:rPr>
          <w:rFonts w:ascii="Calibri" w:cs="Calibri" w:eastAsia="Calibri" w:hAnsi="Calibri"/>
          <w:color w:val="2B2B2B"/>
          <w:sz w:val="22"/>
          <w:szCs w:val="22"/>
        </w:rPr>
        <w:t xml:space="preserve">É um sinal de alerta comportamental importante:</w:t>
      </w:r>
    </w:p>
    <w:p>
      <w:pPr>
        <w:spacing w:after="40"/>
        <w:ind w:left="380"/>
      </w:pPr>
      <w:r>
        <w:rPr>
          <w:rFonts w:ascii="Calibri" w:cs="Calibri" w:eastAsia="Calibri" w:hAnsi="Calibri"/>
          <w:color w:val="2B2B2B"/>
          <w:sz w:val="21"/>
          <w:szCs w:val="21"/>
        </w:rPr>
        <w:t xml:space="preserve">a) </w:t>
      </w:r>
      <w:r>
        <w:rPr>
          <w:rFonts w:ascii="Calibri" w:cs="Calibri" w:eastAsia="Calibri" w:hAnsi="Calibri"/>
          <w:color w:val="2B2B2B"/>
          <w:sz w:val="21"/>
          <w:szCs w:val="21"/>
        </w:rPr>
        <w:t xml:space="preserve">Melhora gradual e consistente do humor ao longo de semanas</w:t>
      </w:r>
    </w:p>
    <w:p>
      <w:pPr>
        <w:spacing w:after="40"/>
        <w:ind w:left="380"/>
      </w:pPr>
      <w:r>
        <w:rPr>
          <w:rFonts w:ascii="Calibri" w:cs="Calibri" w:eastAsia="Calibri" w:hAnsi="Calibri"/>
          <w:color w:val="2B2B2B"/>
          <w:sz w:val="21"/>
          <w:szCs w:val="21"/>
        </w:rPr>
        <w:t xml:space="preserve">b) </w:t>
      </w:r>
      <w:r>
        <w:rPr>
          <w:rFonts w:ascii="Calibri" w:cs="Calibri" w:eastAsia="Calibri" w:hAnsi="Calibri"/>
          <w:color w:val="2B2B2B"/>
          <w:sz w:val="21"/>
          <w:szCs w:val="21"/>
        </w:rPr>
        <w:t xml:space="preserve">Doar pertences pessoais e se despedir de forma incomum</w:t>
      </w:r>
    </w:p>
    <w:p>
      <w:pPr>
        <w:spacing w:after="40"/>
        <w:ind w:left="380"/>
      </w:pPr>
      <w:r>
        <w:rPr>
          <w:rFonts w:ascii="Calibri" w:cs="Calibri" w:eastAsia="Calibri" w:hAnsi="Calibri"/>
          <w:color w:val="2B2B2B"/>
          <w:sz w:val="21"/>
          <w:szCs w:val="21"/>
        </w:rPr>
        <w:t xml:space="preserve">c) </w:t>
      </w:r>
      <w:r>
        <w:rPr>
          <w:rFonts w:ascii="Calibri" w:cs="Calibri" w:eastAsia="Calibri" w:hAnsi="Calibri"/>
          <w:color w:val="2B2B2B"/>
          <w:sz w:val="21"/>
          <w:szCs w:val="21"/>
        </w:rPr>
        <w:t xml:space="preserve">Aumento do interesse em atividades sociais</w:t>
      </w:r>
    </w:p>
    <w:p>
      <w:pPr>
        <w:spacing w:after="40"/>
        <w:ind w:left="380"/>
      </w:pPr>
      <w:r>
        <w:rPr>
          <w:rFonts w:ascii="Calibri" w:cs="Calibri" w:eastAsia="Calibri" w:hAnsi="Calibri"/>
          <w:color w:val="2B2B2B"/>
          <w:sz w:val="21"/>
          <w:szCs w:val="21"/>
        </w:rPr>
        <w:t xml:space="preserve">d) </w:t>
      </w:r>
      <w:r>
        <w:rPr>
          <w:rFonts w:ascii="Calibri" w:cs="Calibri" w:eastAsia="Calibri" w:hAnsi="Calibri"/>
          <w:color w:val="2B2B2B"/>
          <w:sz w:val="21"/>
          <w:szCs w:val="21"/>
        </w:rPr>
        <w:t xml:space="preserve">Melhora consistente da qualidade do sono</w:t>
      </w:r>
    </w:p>
    <w:p>
      <w:pPr>
        <w:spacing w:after="80" w:before="260"/>
      </w:pPr>
      <w:r>
        <w:rPr>
          <w:rFonts w:ascii="Calibri" w:cs="Calibri" w:eastAsia="Calibri" w:hAnsi="Calibri"/>
          <w:b/>
          <w:bCs/>
          <w:color w:val="C1652F"/>
          <w:sz w:val="22"/>
          <w:szCs w:val="22"/>
        </w:rPr>
        <w:t xml:space="preserve">7. </w:t>
      </w:r>
      <w:r>
        <w:rPr>
          <w:rFonts w:ascii="Calibri" w:cs="Calibri" w:eastAsia="Calibri" w:hAnsi="Calibri"/>
          <w:color w:val="2B2B2B"/>
          <w:sz w:val="22"/>
          <w:szCs w:val="22"/>
        </w:rPr>
        <w:t xml:space="preserve">Uma "melhora súbita e inexplicada" do humor em alguém com ideação grave pode indicar:</w:t>
      </w:r>
    </w:p>
    <w:p>
      <w:pPr>
        <w:spacing w:after="40"/>
        <w:ind w:left="380"/>
      </w:pPr>
      <w:r>
        <w:rPr>
          <w:rFonts w:ascii="Calibri" w:cs="Calibri" w:eastAsia="Calibri" w:hAnsi="Calibri"/>
          <w:color w:val="2B2B2B"/>
          <w:sz w:val="21"/>
          <w:szCs w:val="21"/>
        </w:rPr>
        <w:t xml:space="preserve">a) </w:t>
      </w:r>
      <w:r>
        <w:rPr>
          <w:rFonts w:ascii="Calibri" w:cs="Calibri" w:eastAsia="Calibri" w:hAnsi="Calibri"/>
          <w:color w:val="2B2B2B"/>
          <w:sz w:val="21"/>
          <w:szCs w:val="21"/>
        </w:rPr>
        <w:t xml:space="preserve">Recuperação completa e garantida</w:t>
      </w:r>
    </w:p>
    <w:p>
      <w:pPr>
        <w:spacing w:after="40"/>
        <w:ind w:left="380"/>
      </w:pPr>
      <w:r>
        <w:rPr>
          <w:rFonts w:ascii="Calibri" w:cs="Calibri" w:eastAsia="Calibri" w:hAnsi="Calibri"/>
          <w:color w:val="2B2B2B"/>
          <w:sz w:val="21"/>
          <w:szCs w:val="21"/>
        </w:rPr>
        <w:t xml:space="preserve">b) </w:t>
      </w:r>
      <w:r>
        <w:rPr>
          <w:rFonts w:ascii="Calibri" w:cs="Calibri" w:eastAsia="Calibri" w:hAnsi="Calibri"/>
          <w:color w:val="2B2B2B"/>
          <w:sz w:val="21"/>
          <w:szCs w:val="21"/>
        </w:rPr>
        <w:t xml:space="preserve">Possível decisão já tomada sobre o suicídio — um sinal de alerta, não necessariamente de alívio</w:t>
      </w:r>
    </w:p>
    <w:p>
      <w:pPr>
        <w:spacing w:after="40"/>
        <w:ind w:left="380"/>
      </w:pPr>
      <w:r>
        <w:rPr>
          <w:rFonts w:ascii="Calibri" w:cs="Calibri" w:eastAsia="Calibri" w:hAnsi="Calibri"/>
          <w:color w:val="2B2B2B"/>
          <w:sz w:val="21"/>
          <w:szCs w:val="21"/>
        </w:rPr>
        <w:t xml:space="preserve">c) </w:t>
      </w:r>
      <w:r>
        <w:rPr>
          <w:rFonts w:ascii="Calibri" w:cs="Calibri" w:eastAsia="Calibri" w:hAnsi="Calibri"/>
          <w:color w:val="2B2B2B"/>
          <w:sz w:val="21"/>
          <w:szCs w:val="21"/>
        </w:rPr>
        <w:t xml:space="preserve">Que o risco desapareceu por completo</w:t>
      </w:r>
    </w:p>
    <w:p>
      <w:pPr>
        <w:spacing w:after="40"/>
        <w:ind w:left="380"/>
      </w:pPr>
      <w:r>
        <w:rPr>
          <w:rFonts w:ascii="Calibri" w:cs="Calibri" w:eastAsia="Calibri" w:hAnsi="Calibri"/>
          <w:color w:val="2B2B2B"/>
          <w:sz w:val="21"/>
          <w:szCs w:val="21"/>
        </w:rPr>
        <w:t xml:space="preserve">d) </w:t>
      </w:r>
      <w:r>
        <w:rPr>
          <w:rFonts w:ascii="Calibri" w:cs="Calibri" w:eastAsia="Calibri" w:hAnsi="Calibri"/>
          <w:color w:val="2B2B2B"/>
          <w:sz w:val="21"/>
          <w:szCs w:val="21"/>
        </w:rPr>
        <w:t xml:space="preserve">Sempre um efeito colateral de medicação</w:t>
      </w:r>
    </w:p>
    <w:p>
      <w:pPr>
        <w:spacing w:after="80" w:before="260"/>
      </w:pPr>
      <w:r>
        <w:rPr>
          <w:rFonts w:ascii="Calibri" w:cs="Calibri" w:eastAsia="Calibri" w:hAnsi="Calibri"/>
          <w:b/>
          <w:bCs/>
          <w:color w:val="C1652F"/>
          <w:sz w:val="22"/>
          <w:szCs w:val="22"/>
        </w:rPr>
        <w:t xml:space="preserve">8. </w:t>
      </w:r>
      <w:r>
        <w:rPr>
          <w:rFonts w:ascii="Calibri" w:cs="Calibri" w:eastAsia="Calibri" w:hAnsi="Calibri"/>
          <w:color w:val="2B2B2B"/>
          <w:sz w:val="22"/>
          <w:szCs w:val="22"/>
        </w:rPr>
        <w:t xml:space="preserve">O Plano de Segurança (passo 3) inclui, entre outras etapas:</w:t>
      </w:r>
    </w:p>
    <w:p>
      <w:pPr>
        <w:spacing w:after="40"/>
        <w:ind w:left="380"/>
      </w:pPr>
      <w:r>
        <w:rPr>
          <w:rFonts w:ascii="Calibri" w:cs="Calibri" w:eastAsia="Calibri" w:hAnsi="Calibri"/>
          <w:color w:val="2B2B2B"/>
          <w:sz w:val="21"/>
          <w:szCs w:val="21"/>
        </w:rPr>
        <w:t xml:space="preserve">a) </w:t>
      </w:r>
      <w:r>
        <w:rPr>
          <w:rFonts w:ascii="Calibri" w:cs="Calibri" w:eastAsia="Calibri" w:hAnsi="Calibri"/>
          <w:color w:val="2B2B2B"/>
          <w:sz w:val="21"/>
          <w:szCs w:val="21"/>
        </w:rPr>
        <w:t xml:space="preserve">Apenas uma promessa verbal de não se machucar</w:t>
      </w:r>
    </w:p>
    <w:p>
      <w:pPr>
        <w:spacing w:after="40"/>
        <w:ind w:left="380"/>
      </w:pPr>
      <w:r>
        <w:rPr>
          <w:rFonts w:ascii="Calibri" w:cs="Calibri" w:eastAsia="Calibri" w:hAnsi="Calibri"/>
          <w:color w:val="2B2B2B"/>
          <w:sz w:val="21"/>
          <w:szCs w:val="21"/>
        </w:rPr>
        <w:t xml:space="preserve">b) </w:t>
      </w:r>
      <w:r>
        <w:rPr>
          <w:rFonts w:ascii="Calibri" w:cs="Calibri" w:eastAsia="Calibri" w:hAnsi="Calibri"/>
          <w:color w:val="2B2B2B"/>
          <w:sz w:val="21"/>
          <w:szCs w:val="21"/>
        </w:rPr>
        <w:t xml:space="preserve">Sinais de alerta pessoais, estratégias de enfrentamento, contatos de apoio e redução de acesso a meios letais</w:t>
      </w:r>
    </w:p>
    <w:p>
      <w:pPr>
        <w:spacing w:after="40"/>
        <w:ind w:left="380"/>
      </w:pPr>
      <w:r>
        <w:rPr>
          <w:rFonts w:ascii="Calibri" w:cs="Calibri" w:eastAsia="Calibri" w:hAnsi="Calibri"/>
          <w:color w:val="2B2B2B"/>
          <w:sz w:val="21"/>
          <w:szCs w:val="21"/>
        </w:rPr>
        <w:t xml:space="preserve">c) </w:t>
      </w:r>
      <w:r>
        <w:rPr>
          <w:rFonts w:ascii="Calibri" w:cs="Calibri" w:eastAsia="Calibri" w:hAnsi="Calibri"/>
          <w:color w:val="2B2B2B"/>
          <w:sz w:val="21"/>
          <w:szCs w:val="21"/>
        </w:rPr>
        <w:t xml:space="preserve">Somente o número de um hospital, sem mais nenhuma etapa</w:t>
      </w:r>
    </w:p>
    <w:p>
      <w:pPr>
        <w:spacing w:after="40"/>
        <w:ind w:left="380"/>
      </w:pPr>
      <w:r>
        <w:rPr>
          <w:rFonts w:ascii="Calibri" w:cs="Calibri" w:eastAsia="Calibri" w:hAnsi="Calibri"/>
          <w:color w:val="2B2B2B"/>
          <w:sz w:val="21"/>
          <w:szCs w:val="21"/>
        </w:rPr>
        <w:t xml:space="preserve">d) </w:t>
      </w:r>
      <w:r>
        <w:rPr>
          <w:rFonts w:ascii="Calibri" w:cs="Calibri" w:eastAsia="Calibri" w:hAnsi="Calibri"/>
          <w:color w:val="2B2B2B"/>
          <w:sz w:val="21"/>
          <w:szCs w:val="21"/>
        </w:rPr>
        <w:t xml:space="preserve">Isolamento completo do paciente de qualquer contato</w:t>
      </w:r>
    </w:p>
    <w:p>
      <w:pPr>
        <w:spacing w:after="80" w:before="260"/>
      </w:pPr>
      <w:r>
        <w:rPr>
          <w:rFonts w:ascii="Calibri" w:cs="Calibri" w:eastAsia="Calibri" w:hAnsi="Calibri"/>
          <w:b/>
          <w:bCs/>
          <w:color w:val="C1652F"/>
          <w:sz w:val="22"/>
          <w:szCs w:val="22"/>
        </w:rPr>
        <w:t xml:space="preserve">9. </w:t>
      </w:r>
      <w:r>
        <w:rPr>
          <w:rFonts w:ascii="Calibri" w:cs="Calibri" w:eastAsia="Calibri" w:hAnsi="Calibri"/>
          <w:color w:val="2B2B2B"/>
          <w:sz w:val="22"/>
          <w:szCs w:val="22"/>
        </w:rPr>
        <w:t xml:space="preserve">Diante de risco iminente (plano + meios + intenção clara), a conduta é:</w:t>
      </w:r>
    </w:p>
    <w:p>
      <w:pPr>
        <w:spacing w:after="40"/>
        <w:ind w:left="380"/>
      </w:pPr>
      <w:r>
        <w:rPr>
          <w:rFonts w:ascii="Calibri" w:cs="Calibri" w:eastAsia="Calibri" w:hAnsi="Calibri"/>
          <w:color w:val="2B2B2B"/>
          <w:sz w:val="21"/>
          <w:szCs w:val="21"/>
        </w:rPr>
        <w:t xml:space="preserve">a) </w:t>
      </w:r>
      <w:r>
        <w:rPr>
          <w:rFonts w:ascii="Calibri" w:cs="Calibri" w:eastAsia="Calibri" w:hAnsi="Calibri"/>
          <w:color w:val="2B2B2B"/>
          <w:sz w:val="21"/>
          <w:szCs w:val="21"/>
        </w:rPr>
        <w:t xml:space="preserve">Agendar retorno em 1 mês, como de costume</w:t>
      </w:r>
    </w:p>
    <w:p>
      <w:pPr>
        <w:spacing w:after="40"/>
        <w:ind w:left="380"/>
      </w:pPr>
      <w:r>
        <w:rPr>
          <w:rFonts w:ascii="Calibri" w:cs="Calibri" w:eastAsia="Calibri" w:hAnsi="Calibri"/>
          <w:color w:val="2B2B2B"/>
          <w:sz w:val="21"/>
          <w:szCs w:val="21"/>
        </w:rPr>
        <w:t xml:space="preserve">b) </w:t>
      </w:r>
      <w:r>
        <w:rPr>
          <w:rFonts w:ascii="Calibri" w:cs="Calibri" w:eastAsia="Calibri" w:hAnsi="Calibri"/>
          <w:color w:val="2B2B2B"/>
          <w:sz w:val="21"/>
          <w:szCs w:val="21"/>
        </w:rPr>
        <w:t xml:space="preserve">Não deixar a pessoa sozinha e acionar emergência (SAMU/CVV/pronto-socorro) imediatamente</w:t>
      </w:r>
    </w:p>
    <w:p>
      <w:pPr>
        <w:spacing w:after="40"/>
        <w:ind w:left="380"/>
      </w:pPr>
      <w:r>
        <w:rPr>
          <w:rFonts w:ascii="Calibri" w:cs="Calibri" w:eastAsia="Calibri" w:hAnsi="Calibri"/>
          <w:color w:val="2B2B2B"/>
          <w:sz w:val="21"/>
          <w:szCs w:val="21"/>
        </w:rPr>
        <w:t xml:space="preserve">c) </w:t>
      </w:r>
      <w:r>
        <w:rPr>
          <w:rFonts w:ascii="Calibri" w:cs="Calibri" w:eastAsia="Calibri" w:hAnsi="Calibri"/>
          <w:color w:val="2B2B2B"/>
          <w:sz w:val="21"/>
          <w:szCs w:val="21"/>
        </w:rPr>
        <w:t xml:space="preserve">Pedir que ela "pense positivo" e aguardar</w:t>
      </w:r>
    </w:p>
    <w:p>
      <w:pPr>
        <w:spacing w:after="40"/>
        <w:ind w:left="380"/>
      </w:pPr>
      <w:r>
        <w:rPr>
          <w:rFonts w:ascii="Calibri" w:cs="Calibri" w:eastAsia="Calibri" w:hAnsi="Calibri"/>
          <w:color w:val="2B2B2B"/>
          <w:sz w:val="21"/>
          <w:szCs w:val="21"/>
        </w:rPr>
        <w:t xml:space="preserve">d) </w:t>
      </w:r>
      <w:r>
        <w:rPr>
          <w:rFonts w:ascii="Calibri" w:cs="Calibri" w:eastAsia="Calibri" w:hAnsi="Calibri"/>
          <w:color w:val="2B2B2B"/>
          <w:sz w:val="21"/>
          <w:szCs w:val="21"/>
        </w:rPr>
        <w:t xml:space="preserve">Aguardar a próxima sessão já agendada</w:t>
      </w:r>
    </w:p>
    <w:p>
      <w:pPr>
        <w:spacing w:after="80" w:before="260"/>
      </w:pPr>
      <w:r>
        <w:rPr>
          <w:rFonts w:ascii="Calibri" w:cs="Calibri" w:eastAsia="Calibri" w:hAnsi="Calibri"/>
          <w:b/>
          <w:bCs/>
          <w:color w:val="C1652F"/>
          <w:sz w:val="22"/>
          <w:szCs w:val="22"/>
        </w:rPr>
        <w:t xml:space="preserve">10. </w:t>
      </w:r>
      <w:r>
        <w:rPr>
          <w:rFonts w:ascii="Calibri" w:cs="Calibri" w:eastAsia="Calibri" w:hAnsi="Calibri"/>
          <w:color w:val="2B2B2B"/>
          <w:sz w:val="22"/>
          <w:szCs w:val="22"/>
        </w:rPr>
        <w:t xml:space="preserve">São fatores que aumentam o risco:</w:t>
      </w:r>
    </w:p>
    <w:p>
      <w:pPr>
        <w:spacing w:after="40"/>
        <w:ind w:left="380"/>
      </w:pPr>
      <w:r>
        <w:rPr>
          <w:rFonts w:ascii="Calibri" w:cs="Calibri" w:eastAsia="Calibri" w:hAnsi="Calibri"/>
          <w:color w:val="2B2B2B"/>
          <w:sz w:val="21"/>
          <w:szCs w:val="21"/>
        </w:rPr>
        <w:t xml:space="preserve">a) </w:t>
      </w:r>
      <w:r>
        <w:rPr>
          <w:rFonts w:ascii="Calibri" w:cs="Calibri" w:eastAsia="Calibri" w:hAnsi="Calibri"/>
          <w:color w:val="2B2B2B"/>
          <w:sz w:val="21"/>
          <w:szCs w:val="21"/>
        </w:rPr>
        <w:t xml:space="preserve">Tentativa prévia de suicídio e comorbidade com uso ativo de substâncias</w:t>
      </w:r>
    </w:p>
    <w:p>
      <w:pPr>
        <w:spacing w:after="40"/>
        <w:ind w:left="380"/>
      </w:pPr>
      <w:r>
        <w:rPr>
          <w:rFonts w:ascii="Calibri" w:cs="Calibri" w:eastAsia="Calibri" w:hAnsi="Calibri"/>
          <w:color w:val="2B2B2B"/>
          <w:sz w:val="21"/>
          <w:szCs w:val="21"/>
        </w:rPr>
        <w:t xml:space="preserve">b) </w:t>
      </w:r>
      <w:r>
        <w:rPr>
          <w:rFonts w:ascii="Calibri" w:cs="Calibri" w:eastAsia="Calibri" w:hAnsi="Calibri"/>
          <w:color w:val="2B2B2B"/>
          <w:sz w:val="21"/>
          <w:szCs w:val="21"/>
        </w:rPr>
        <w:t xml:space="preserve">Ter uma rede de apoio presente e ativa</w:t>
      </w:r>
    </w:p>
    <w:p>
      <w:pPr>
        <w:spacing w:after="40"/>
        <w:ind w:left="380"/>
      </w:pPr>
      <w:r>
        <w:rPr>
          <w:rFonts w:ascii="Calibri" w:cs="Calibri" w:eastAsia="Calibri" w:hAnsi="Calibri"/>
          <w:color w:val="2B2B2B"/>
          <w:sz w:val="21"/>
          <w:szCs w:val="21"/>
        </w:rPr>
        <w:t xml:space="preserve">c) </w:t>
      </w:r>
      <w:r>
        <w:rPr>
          <w:rFonts w:ascii="Calibri" w:cs="Calibri" w:eastAsia="Calibri" w:hAnsi="Calibri"/>
          <w:color w:val="2B2B2B"/>
          <w:sz w:val="21"/>
          <w:szCs w:val="21"/>
        </w:rPr>
        <w:t xml:space="preserve">Ausência total de estressores recentes</w:t>
      </w:r>
    </w:p>
    <w:p>
      <w:pPr>
        <w:spacing w:after="40"/>
        <w:ind w:left="380"/>
      </w:pPr>
      <w:r>
        <w:rPr>
          <w:rFonts w:ascii="Calibri" w:cs="Calibri" w:eastAsia="Calibri" w:hAnsi="Calibri"/>
          <w:color w:val="2B2B2B"/>
          <w:sz w:val="21"/>
          <w:szCs w:val="21"/>
        </w:rPr>
        <w:t xml:space="preserve">d) </w:t>
      </w:r>
      <w:r>
        <w:rPr>
          <w:rFonts w:ascii="Calibri" w:cs="Calibri" w:eastAsia="Calibri" w:hAnsi="Calibri"/>
          <w:color w:val="2B2B2B"/>
          <w:sz w:val="21"/>
          <w:szCs w:val="21"/>
        </w:rPr>
        <w:t xml:space="preserve">Ter buscado ajuda profissional voluntariamente</w:t>
      </w:r>
    </w:p>
    <w:p>
      <w:r>
        <w:br w:type="page"/>
      </w:r>
    </w:p>
    <w:p>
      <w:pPr>
        <w:pStyle w:val="Heading1"/>
        <w:spacing w:after="160" w:before="380"/>
      </w:pPr>
      <w:r>
        <w:rPr>
          <w:rFonts w:ascii="Cambria" w:cs="Cambria" w:eastAsia="Cambria" w:hAnsi="Cambria"/>
          <w:b/>
          <w:bCs/>
          <w:color w:val="12283D"/>
          <w:sz w:val="27"/>
          <w:szCs w:val="27"/>
        </w:rPr>
        <w:t xml:space="preserve">Parte 2 — Questão de caso (40 pontos)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5F1EA" w:val="clear"/>
            <w:tcMar>
              <w:top w:type="dxa" w:w="160"/>
              <w:left w:type="dxa" w:w="200"/>
              <w:bottom w:type="dxa" w:w="160"/>
              <w:right w:type="dxa" w:w="200"/>
            </w:tcMar>
          </w:tcPr>
          <w:p>
            <w:r>
              <w:rPr>
                <w:rFonts w:ascii="Calibri" w:cs="Calibri" w:eastAsia="Calibri" w:hAnsi="Calibri"/>
                <w:i/>
                <w:iCs/>
                <w:color w:val="2B2B2B"/>
                <w:sz w:val="22"/>
                <w:szCs w:val="22"/>
              </w:rPr>
              <w:t xml:space="preserve">Vinícius, 41 anos, procura terapia após ser demitido há 1 mês. Relata que "não vê mais sentido em nada" e que já pensou em "acabar com tudo de uma vez", citando especificamente os remédios que tem em casa como método. Diz que não fez nada ainda porque pensa na filha de 8 anos. Nega tentativas prévias. Nega uso de substâncias.</w:t>
            </w:r>
          </w:p>
        </w:tc>
      </w:tr>
    </w:tbl>
    <w:p>
      <w:pPr>
        <w:spacing w:before="240"/>
      </w:pPr>
      <w:r>
        <w:rPr>
          <w:rFonts w:ascii="Calibri" w:cs="Calibri" w:eastAsia="Calibri" w:hAnsi="Calibri"/>
          <w:b/>
          <w:bCs/>
          <w:color w:val="2B2B2B"/>
          <w:sz w:val="22"/>
          <w:szCs w:val="22"/>
        </w:rPr>
        <w:t xml:space="preserve">Com base no protocolo estudado, responda:</w:t>
      </w:r>
    </w:p>
    <w:p>
      <w:pPr>
        <w:spacing w:after="40" w:before="220"/>
      </w:pPr>
      <w:r>
        <w:rPr>
          <w:rFonts w:ascii="Calibri" w:cs="Calibri" w:eastAsia="Calibri" w:hAnsi="Calibri"/>
          <w:b/>
          <w:bCs/>
          <w:color w:val="2B2B2B"/>
          <w:sz w:val="22"/>
          <w:szCs w:val="22"/>
        </w:rPr>
        <w:t xml:space="preserve">a) (10 pts) Que nível de risco essa apresentação sugere? Identifique os elementos de plano, meios e intenção presentes na vinheta.</w:t>
      </w:r>
    </w:p>
    <w:p>
      <w:pPr>
        <w:pBdr>
          <w:bottom w:val="single" w:color="D9D2C4" w:sz="2" w:space="1"/>
        </w:pBdr>
        <w:spacing w:after="220" w:before="220"/>
        <w:ind w:left="300"/>
      </w:pPr>
      <w:r>
        <w:rPr>
          <w:sz w:val="22"/>
          <w:szCs w:val="22"/>
        </w:rPr>
        <w:t xml:space="preserve"> </w:t>
      </w:r>
    </w:p>
    <w:p>
      <w:pPr>
        <w:pBdr>
          <w:bottom w:val="single" w:color="D9D2C4" w:sz="2" w:space="1"/>
        </w:pBdr>
        <w:spacing w:after="220" w:before="220"/>
        <w:ind w:left="300"/>
      </w:pPr>
      <w:r>
        <w:rPr>
          <w:sz w:val="22"/>
          <w:szCs w:val="22"/>
        </w:rPr>
        <w:t xml:space="preserve"> </w:t>
      </w:r>
    </w:p>
    <w:p>
      <w:pPr>
        <w:spacing w:after="40" w:before="100"/>
      </w:pPr>
      <w:r>
        <w:rPr>
          <w:rFonts w:ascii="Calibri" w:cs="Calibri" w:eastAsia="Calibri" w:hAnsi="Calibri"/>
          <w:b/>
          <w:bCs/>
          <w:color w:val="2B2B2B"/>
          <w:sz w:val="22"/>
          <w:szCs w:val="22"/>
        </w:rPr>
        <w:t xml:space="preserve">b) (10 pts) A menção à filha como razão pra não agir é um fator de proteção. Isso é suficiente pra reduzir o nível de risco a ponto de dispensar mais avaliação? Justifique.</w:t>
      </w:r>
    </w:p>
    <w:p>
      <w:pPr>
        <w:pBdr>
          <w:bottom w:val="single" w:color="D9D2C4" w:sz="2" w:space="1"/>
        </w:pBdr>
        <w:spacing w:after="220" w:before="220"/>
        <w:ind w:left="300"/>
      </w:pPr>
      <w:r>
        <w:rPr>
          <w:sz w:val="22"/>
          <w:szCs w:val="22"/>
        </w:rPr>
        <w:t xml:space="preserve"> </w:t>
      </w:r>
    </w:p>
    <w:p>
      <w:pPr>
        <w:pBdr>
          <w:bottom w:val="single" w:color="D9D2C4" w:sz="2" w:space="1"/>
        </w:pBdr>
        <w:spacing w:after="220" w:before="220"/>
        <w:ind w:left="300"/>
      </w:pPr>
      <w:r>
        <w:rPr>
          <w:sz w:val="22"/>
          <w:szCs w:val="22"/>
        </w:rPr>
        <w:t xml:space="preserve"> </w:t>
      </w:r>
    </w:p>
    <w:p>
      <w:pPr>
        <w:spacing w:after="40" w:before="100"/>
      </w:pPr>
      <w:r>
        <w:rPr>
          <w:rFonts w:ascii="Calibri" w:cs="Calibri" w:eastAsia="Calibri" w:hAnsi="Calibri"/>
          <w:b/>
          <w:bCs/>
          <w:color w:val="2B2B2B"/>
          <w:sz w:val="22"/>
          <w:szCs w:val="22"/>
        </w:rPr>
        <w:t xml:space="preserve">c) (10 pts) Descreva um item do Plano de Segurança voltado especificamente à redução de acesso a meios letais nesse caso.</w:t>
      </w:r>
    </w:p>
    <w:p>
      <w:pPr>
        <w:pBdr>
          <w:bottom w:val="single" w:color="D9D2C4" w:sz="2" w:space="1"/>
        </w:pBdr>
        <w:spacing w:after="220" w:before="220"/>
        <w:ind w:left="300"/>
      </w:pPr>
      <w:r>
        <w:rPr>
          <w:sz w:val="22"/>
          <w:szCs w:val="22"/>
        </w:rPr>
        <w:t xml:space="preserve"> </w:t>
      </w:r>
    </w:p>
    <w:p>
      <w:pPr>
        <w:pBdr>
          <w:bottom w:val="single" w:color="D9D2C4" w:sz="2" w:space="1"/>
        </w:pBdr>
        <w:spacing w:after="220" w:before="220"/>
        <w:ind w:left="300"/>
      </w:pPr>
      <w:r>
        <w:rPr>
          <w:sz w:val="22"/>
          <w:szCs w:val="22"/>
        </w:rPr>
        <w:t xml:space="preserve"> </w:t>
      </w:r>
    </w:p>
    <w:p>
      <w:pPr>
        <w:spacing w:after="40" w:before="100"/>
      </w:pPr>
      <w:r>
        <w:rPr>
          <w:rFonts w:ascii="Calibri" w:cs="Calibri" w:eastAsia="Calibri" w:hAnsi="Calibri"/>
          <w:b/>
          <w:bCs/>
          <w:color w:val="2B2B2B"/>
          <w:sz w:val="22"/>
          <w:szCs w:val="22"/>
        </w:rPr>
        <w:t xml:space="preserve">d) (10 pts) Essa apresentação exige ativação de rede/encaminhamento imediato, ou acompanhamento com plano de segurança é suficiente por ora? Justifique com base nos critérios estudados.</w:t>
      </w:r>
    </w:p>
    <w:p>
      <w:pPr>
        <w:pBdr>
          <w:bottom w:val="single" w:color="D9D2C4" w:sz="2" w:space="1"/>
        </w:pBdr>
        <w:spacing w:after="220" w:before="220"/>
        <w:ind w:left="300"/>
      </w:pPr>
      <w:r>
        <w:rPr>
          <w:sz w:val="22"/>
          <w:szCs w:val="22"/>
        </w:rPr>
        <w:t xml:space="preserve"> </w:t>
      </w:r>
    </w:p>
    <w:p>
      <w:pPr>
        <w:pBdr>
          <w:bottom w:val="single" w:color="D9D2C4" w:sz="2" w:space="1"/>
        </w:pBdr>
        <w:spacing w:after="220" w:before="220"/>
        <w:ind w:left="300"/>
      </w:pPr>
      <w:r>
        <w:rPr>
          <w:sz w:val="22"/>
          <w:szCs w:val="22"/>
        </w:rPr>
        <w:t xml:space="preserve"> </w:t>
      </w:r>
    </w:p>
    <w:p>
      <w:r>
        <w:br w:type="page"/>
      </w:r>
    </w:p>
    <w:p>
      <w:pPr>
        <w:spacing w:after="40"/>
      </w:pPr>
      <w:r>
        <w:rPr>
          <w:rFonts w:ascii="Calibri" w:cs="Calibri" w:eastAsia="Calibri" w:hAnsi="Calibri"/>
          <w:b/>
          <w:bCs/>
          <w:color w:val="C1652F"/>
          <w:sz w:val="20"/>
          <w:szCs w:val="20"/>
        </w:rPr>
        <w:t xml:space="preserve">USO EXCLUSIVO DO INSTRUTOR — remover antes de aplicar a prova</w:t>
      </w:r>
    </w:p>
    <w:p>
      <w:pPr>
        <w:pStyle w:val="Heading1"/>
        <w:spacing w:after="160" w:before="380"/>
      </w:pPr>
      <w:r>
        <w:rPr>
          <w:rFonts w:ascii="Cambria" w:cs="Cambria" w:eastAsia="Cambria" w:hAnsi="Cambria"/>
          <w:b/>
          <w:bCs/>
          <w:color w:val="12283D"/>
          <w:sz w:val="27"/>
          <w:szCs w:val="27"/>
        </w:rPr>
        <w:t xml:space="preserve">Gabarito</w:t>
      </w:r>
    </w:p>
    <w:p>
      <w:pPr>
        <w:spacing w:after="100" w:before="100"/>
      </w:pPr>
      <w:r>
        <w:rPr>
          <w:rFonts w:ascii="Calibri" w:cs="Calibri" w:eastAsia="Calibri" w:hAnsi="Calibri"/>
          <w:b/>
          <w:bCs/>
          <w:color w:val="12283D"/>
          <w:sz w:val="23"/>
          <w:szCs w:val="23"/>
        </w:rPr>
        <w:t xml:space="preserve">Parte 1 — Questões objetivas</w:t>
      </w:r>
    </w:p>
    <w:p>
      <w:pPr>
        <w:spacing w:after="200"/>
      </w:pPr>
      <w:r>
        <w:rPr>
          <w:rFonts w:ascii="Calibri" w:cs="Calibri" w:eastAsia="Calibri" w:hAnsi="Calibri"/>
          <w:color w:val="2B2B2B"/>
          <w:sz w:val="22"/>
          <w:szCs w:val="22"/>
        </w:rPr>
        <w:t xml:space="preserve">1-a   ·   2-b   ·   3-b   ·   4-a   ·   5-b   ·   6-b   ·   7-b   ·   8-b   ·   9-b   ·   10-a</w:t>
      </w:r>
    </w:p>
    <w:p>
      <w:pPr>
        <w:spacing w:after="100" w:before="100"/>
      </w:pPr>
      <w:r>
        <w:rPr>
          <w:rFonts w:ascii="Calibri" w:cs="Calibri" w:eastAsia="Calibri" w:hAnsi="Calibri"/>
          <w:b/>
          <w:bCs/>
          <w:color w:val="12283D"/>
          <w:sz w:val="23"/>
          <w:szCs w:val="23"/>
        </w:rPr>
        <w:t xml:space="preserve">Parte 2 — Critério de correção da questão de caso</w:t>
      </w:r>
    </w:p>
    <w:p>
      <w:pPr>
        <w:spacing w:after="100"/>
      </w:pPr>
      <w:r>
        <w:rPr>
          <w:rFonts w:ascii="Calibri" w:cs="Calibri" w:eastAsia="Calibri" w:hAnsi="Calibri"/>
          <w:b/>
          <w:bCs/>
          <w:color w:val="12283D"/>
          <w:sz w:val="21"/>
          <w:szCs w:val="21"/>
        </w:rPr>
        <w:t xml:space="preserve">a) </w:t>
      </w:r>
      <w:r>
        <w:rPr>
          <w:rFonts w:ascii="Calibri" w:cs="Calibri" w:eastAsia="Calibri" w:hAnsi="Calibri"/>
          <w:color w:val="2B2B2B"/>
          <w:sz w:val="21"/>
          <w:szCs w:val="21"/>
        </w:rPr>
        <w:t xml:space="preserve">Risco moderado a alto — há ideação ativa e método específico citado (remédios em casa = meio disponível), mas sem intenção declarada de agir agora nem plano de execução definido no tempo.</w:t>
      </w:r>
    </w:p>
    <w:p>
      <w:pPr>
        <w:spacing w:after="100"/>
      </w:pPr>
      <w:r>
        <w:rPr>
          <w:rFonts w:ascii="Calibri" w:cs="Calibri" w:eastAsia="Calibri" w:hAnsi="Calibri"/>
          <w:b/>
          <w:bCs/>
          <w:color w:val="12283D"/>
          <w:sz w:val="21"/>
          <w:szCs w:val="21"/>
        </w:rPr>
        <w:t xml:space="preserve">b) </w:t>
      </w:r>
      <w:r>
        <w:rPr>
          <w:rFonts w:ascii="Calibri" w:cs="Calibri" w:eastAsia="Calibri" w:hAnsi="Calibri"/>
          <w:color w:val="2B2B2B"/>
          <w:sz w:val="21"/>
          <w:szCs w:val="21"/>
        </w:rPr>
        <w:t xml:space="preserve">Não. Fatores de proteção reduzem o risco, mas não eliminam a necessidade de avaliação completa e plano de segurança — a presença de meio específico citado (remédios) exige ação direta (passo 3), não só anotação do fator protetivo.</w:t>
      </w:r>
    </w:p>
    <w:p>
      <w:pPr>
        <w:spacing w:after="100"/>
      </w:pPr>
      <w:r>
        <w:rPr>
          <w:rFonts w:ascii="Calibri" w:cs="Calibri" w:eastAsia="Calibri" w:hAnsi="Calibri"/>
          <w:b/>
          <w:bCs/>
          <w:color w:val="12283D"/>
          <w:sz w:val="21"/>
          <w:szCs w:val="21"/>
        </w:rPr>
        <w:t xml:space="preserve">c) </w:t>
      </w:r>
      <w:r>
        <w:rPr>
          <w:rFonts w:ascii="Calibri" w:cs="Calibri" w:eastAsia="Calibri" w:hAnsi="Calibri"/>
          <w:color w:val="2B2B2B"/>
          <w:sz w:val="21"/>
          <w:szCs w:val="21"/>
        </w:rPr>
        <w:t xml:space="preserve">Ex: combinar com Vinícius (e, se possível, com alguém de confiança dele) a guarda temporária ou remoção dos remédios de casa, ou limitar o acesso a quantidades que reduzam a letalidade.</w:t>
      </w:r>
    </w:p>
    <w:p>
      <w:pPr>
        <w:spacing w:after="100"/>
      </w:pPr>
      <w:r>
        <w:rPr>
          <w:rFonts w:ascii="Calibri" w:cs="Calibri" w:eastAsia="Calibri" w:hAnsi="Calibri"/>
          <w:b/>
          <w:bCs/>
          <w:color w:val="12283D"/>
          <w:sz w:val="21"/>
          <w:szCs w:val="21"/>
        </w:rPr>
        <w:t xml:space="preserve">d) </w:t>
      </w:r>
      <w:r>
        <w:rPr>
          <w:rFonts w:ascii="Calibri" w:cs="Calibri" w:eastAsia="Calibri" w:hAnsi="Calibri"/>
          <w:color w:val="2B2B2B"/>
          <w:sz w:val="21"/>
          <w:szCs w:val="21"/>
        </w:rPr>
        <w:t xml:space="preserve">Dado que ele já citou um método específico e disponível, mesmo sem intenção declarada de agir imediatamente, a conduta prudente é priorizar plano de segurança completo nesta mesma sessão e considerar encaminhamento psiquiátrico em caráter de urgência (não necessariamente emergência), pela presença de método concreto somada à perda recente (demissão) como estressor agudo.</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157"/>
        <w:sz w:val="16"/>
        <w:szCs w:val="16"/>
      </w:rPr>
      <w:t xml:space="preserve">Módulo 4.9 — Risco de Suicídio · página </w:t>
    </w:r>
    <w:r>
      <w:rPr>
        <w:rFonts w:ascii="Calibri" w:cs="Calibri" w:eastAsia="Calibri" w:hAnsi="Calibri"/>
        <w:color w:val="6B615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6157"/>
        <w:sz w:val="16"/>
        <w:szCs w:val="16"/>
      </w:rPr>
      <w:t xml:space="preserve">Formação em Neurociência Aplicada à Psicoterapia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2026-07-10T00:36:17.769Z</dcterms:created>
  <dcterms:modified xsi:type="dcterms:W3CDTF">2026-07-10T00:36:17.769Z</dcterms:modified>
</cp:coreProperties>
</file>

<file path=docProps/custom.xml><?xml version="1.0" encoding="utf-8"?>
<Properties xmlns="http://schemas.openxmlformats.org/officeDocument/2006/custom-properties" xmlns:vt="http://schemas.openxmlformats.org/officeDocument/2006/docPropsVTypes"/>
</file>