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Keating + Twyne</w:t>
        <w:br/>
        <w:t>Issue Backlog</w:t>
      </w:r>
    </w:p>
    <w:p>
      <w:pPr>
        <w:pStyle w:val="Subtitle"/>
      </w:pPr>
      <w:r>
        <w:t>Detailed GitHub-ready specifications from the August 2026 product review</w:t>
      </w:r>
    </w:p>
    <w:tbl>
      <w:tblPr>
        <w:tblW w:type="auto" w:w="0"/>
        <w:jc w:val="left"/>
        <w:tblLayout w:type="fixed"/>
        <w:tblLook w:firstColumn="1" w:firstRow="1" w:lastColumn="0" w:lastRow="0" w:noHBand="0" w:noVBand="1" w:val="04A0"/>
      </w:tblPr>
      <w:tblGrid>
        <w:gridCol w:w="9936"/>
      </w:tblGrid>
      <w:tr>
        <w:tc>
          <w:tcPr>
            <w:tcW w:type="dxa" w:w="10166"/>
            <w:shd w:fill="F6F8FA"/>
            <w:tcMar>
              <w:top w:w="160" w:type="dxa"/>
              <w:start w:w="180" w:type="dxa"/>
              <w:bottom w:w="160" w:type="dxa"/>
              <w:end w:w="180" w:type="dxa"/>
            </w:tcMar>
          </w:tcPr>
          <w:p>
            <w:r>
              <w:rPr>
                <w:b/>
                <w:color w:val="2F6FEB"/>
              </w:rPr>
              <w:t>Purpose</w:t>
            </w:r>
          </w:p>
          <w:p>
            <w:r>
              <w:t>This document consolidates the product bugs, UX problems, and architectural issues discussed for Keating and Twyne. Each section is written so it can be copied into a GitHub issue once repository write permissions are available.</w:t>
            </w:r>
          </w:p>
          <w:p>
            <w:r>
              <w:rPr>
                <w:b/>
              </w:rPr>
              <w:t xml:space="preserve">Important: </w:t>
            </w:r>
            <w:r>
              <w:t>these issues were discussed and drafted, but the GitHub integration repeatedly returned 403 errors, so they should not be assumed to exist in the repositories yet.</w:t>
            </w:r>
          </w:p>
        </w:tc>
      </w:tr>
    </w:tbl>
    <w:p/>
    <w:p>
      <w:pPr>
        <w:pStyle w:val="Heading1"/>
      </w:pPr>
      <w:r>
        <w:t>Backlog at a glance</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2541"/>
            <w:shd w:fill="111827"/>
          </w:tcPr>
          <w:p>
            <w:r>
              <w:rPr>
                <w:b/>
                <w:color w:val="FFFFFF"/>
              </w:rPr>
              <w:t>#</w:t>
            </w:r>
          </w:p>
        </w:tc>
        <w:tc>
          <w:tcPr>
            <w:tcW w:type="dxa" w:w="2541"/>
            <w:shd w:fill="111827"/>
          </w:tcPr>
          <w:p>
            <w:r>
              <w:rPr>
                <w:b/>
                <w:color w:val="FFFFFF"/>
              </w:rPr>
              <w:t>Product</w:t>
            </w:r>
          </w:p>
        </w:tc>
        <w:tc>
          <w:tcPr>
            <w:tcW w:type="dxa" w:w="2541"/>
            <w:shd w:fill="111827"/>
          </w:tcPr>
          <w:p>
            <w:r>
              <w:rPr>
                <w:b/>
                <w:color w:val="FFFFFF"/>
              </w:rPr>
              <w:t>Priority</w:t>
            </w:r>
          </w:p>
        </w:tc>
        <w:tc>
          <w:tcPr>
            <w:tcW w:type="dxa" w:w="2541"/>
            <w:shd w:fill="111827"/>
          </w:tcPr>
          <w:p>
            <w:r>
              <w:rPr>
                <w:b/>
                <w:color w:val="FFFFFF"/>
              </w:rPr>
              <w:t>Issue</w:t>
            </w:r>
          </w:p>
        </w:tc>
      </w:tr>
      <w:tr>
        <w:tc>
          <w:tcPr>
            <w:tcW w:type="dxa" w:w="2541"/>
            <w:tcMar>
              <w:top w:w="80" w:type="dxa"/>
              <w:start w:w="100" w:type="dxa"/>
              <w:bottom w:w="80" w:type="dxa"/>
              <w:end w:w="100" w:type="dxa"/>
            </w:tcMar>
            <w:vAlign w:val="center"/>
          </w:tcPr>
          <w:p>
            <w:r>
              <w:t>1</w:t>
            </w:r>
          </w:p>
        </w:tc>
        <w:tc>
          <w:tcPr>
            <w:tcW w:type="dxa" w:w="2541"/>
            <w:tcMar>
              <w:top w:w="80" w:type="dxa"/>
              <w:start w:w="100" w:type="dxa"/>
              <w:bottom w:w="80" w:type="dxa"/>
              <w:end w:w="100" w:type="dxa"/>
            </w:tcMar>
            <w:vAlign w:val="center"/>
            <w:shd w:fill="E8F5E9"/>
          </w:tcPr>
          <w:p>
            <w:r>
              <w:t>Keating</w:t>
            </w:r>
          </w:p>
        </w:tc>
        <w:tc>
          <w:tcPr>
            <w:tcW w:type="dxa" w:w="2541"/>
            <w:tcMar>
              <w:top w:w="80" w:type="dxa"/>
              <w:start w:w="100" w:type="dxa"/>
              <w:bottom w:w="80" w:type="dxa"/>
              <w:end w:w="100" w:type="dxa"/>
            </w:tcMar>
            <w:vAlign w:val="center"/>
          </w:tcPr>
          <w:p>
            <w:r>
              <w:t>P0</w:t>
            </w:r>
          </w:p>
        </w:tc>
        <w:tc>
          <w:tcPr>
            <w:tcW w:type="dxa" w:w="2541"/>
            <w:tcMar>
              <w:top w:w="80" w:type="dxa"/>
              <w:start w:w="100" w:type="dxa"/>
              <w:bottom w:w="80" w:type="dxa"/>
              <w:end w:w="100" w:type="dxa"/>
            </w:tcMar>
            <w:vAlign w:val="center"/>
          </w:tcPr>
          <w:p>
            <w:r>
              <w:t>Fix stamping UI hang after replacement completes</w:t>
            </w:r>
          </w:p>
        </w:tc>
      </w:tr>
      <w:tr>
        <w:tc>
          <w:tcPr>
            <w:tcW w:type="dxa" w:w="2541"/>
            <w:tcMar>
              <w:top w:w="80" w:type="dxa"/>
              <w:start w:w="100" w:type="dxa"/>
              <w:bottom w:w="80" w:type="dxa"/>
              <w:end w:w="100" w:type="dxa"/>
            </w:tcMar>
            <w:vAlign w:val="center"/>
          </w:tcPr>
          <w:p>
            <w:r>
              <w:t>2</w:t>
            </w:r>
          </w:p>
        </w:tc>
        <w:tc>
          <w:tcPr>
            <w:tcW w:type="dxa" w:w="2541"/>
            <w:tcMar>
              <w:top w:w="80" w:type="dxa"/>
              <w:start w:w="100" w:type="dxa"/>
              <w:bottom w:w="80" w:type="dxa"/>
              <w:end w:w="100" w:type="dxa"/>
            </w:tcMar>
            <w:vAlign w:val="center"/>
            <w:shd w:fill="E8F5E9"/>
          </w:tcPr>
          <w:p>
            <w:r>
              <w:t>Keating</w:t>
            </w:r>
          </w:p>
        </w:tc>
        <w:tc>
          <w:tcPr>
            <w:tcW w:type="dxa" w:w="2541"/>
            <w:tcMar>
              <w:top w:w="80" w:type="dxa"/>
              <w:start w:w="100" w:type="dxa"/>
              <w:bottom w:w="80" w:type="dxa"/>
              <w:end w:w="100" w:type="dxa"/>
            </w:tcMar>
            <w:vAlign w:val="center"/>
          </w:tcPr>
          <w:p>
            <w:r>
              <w:t>P0</w:t>
            </w:r>
          </w:p>
        </w:tc>
        <w:tc>
          <w:tcPr>
            <w:tcW w:type="dxa" w:w="2541"/>
            <w:tcMar>
              <w:top w:w="80" w:type="dxa"/>
              <w:start w:w="100" w:type="dxa"/>
              <w:bottom w:w="80" w:type="dxa"/>
              <w:end w:w="100" w:type="dxa"/>
            </w:tcMar>
            <w:vAlign w:val="center"/>
          </w:tcPr>
          <w:p>
            <w:r>
              <w:t>Fix unreadable bottom text over glow in dark mode</w:t>
            </w:r>
          </w:p>
        </w:tc>
      </w:tr>
      <w:tr>
        <w:tc>
          <w:tcPr>
            <w:tcW w:type="dxa" w:w="2541"/>
            <w:tcMar>
              <w:top w:w="80" w:type="dxa"/>
              <w:start w:w="100" w:type="dxa"/>
              <w:bottom w:w="80" w:type="dxa"/>
              <w:end w:w="100" w:type="dxa"/>
            </w:tcMar>
            <w:vAlign w:val="center"/>
          </w:tcPr>
          <w:p>
            <w:r>
              <w:t>3</w:t>
            </w:r>
          </w:p>
        </w:tc>
        <w:tc>
          <w:tcPr>
            <w:tcW w:type="dxa" w:w="2541"/>
            <w:tcMar>
              <w:top w:w="80" w:type="dxa"/>
              <w:start w:w="100" w:type="dxa"/>
              <w:bottom w:w="80" w:type="dxa"/>
              <w:end w:w="100" w:type="dxa"/>
            </w:tcMar>
            <w:vAlign w:val="center"/>
            <w:shd w:fill="E8F5E9"/>
          </w:tcPr>
          <w:p>
            <w:r>
              <w:t>Keating</w:t>
            </w:r>
          </w:p>
        </w:tc>
        <w:tc>
          <w:tcPr>
            <w:tcW w:type="dxa" w:w="2541"/>
            <w:tcMar>
              <w:top w:w="80" w:type="dxa"/>
              <w:start w:w="100" w:type="dxa"/>
              <w:bottom w:w="80" w:type="dxa"/>
              <w:end w:w="100" w:type="dxa"/>
            </w:tcMar>
            <w:vAlign w:val="center"/>
          </w:tcPr>
          <w:p>
            <w:r>
              <w:t>P0/P1</w:t>
            </w:r>
          </w:p>
        </w:tc>
        <w:tc>
          <w:tcPr>
            <w:tcW w:type="dxa" w:w="2541"/>
            <w:tcMar>
              <w:top w:w="80" w:type="dxa"/>
              <w:start w:w="100" w:type="dxa"/>
              <w:bottom w:w="80" w:type="dxa"/>
              <w:end w:w="100" w:type="dxa"/>
            </w:tcMar>
            <w:vAlign w:val="center"/>
          </w:tcPr>
          <w:p>
            <w:r>
              <w:t>Feature-flag the current Canvas experience until it is redesigned</w:t>
            </w:r>
          </w:p>
        </w:tc>
      </w:tr>
      <w:tr>
        <w:tc>
          <w:tcPr>
            <w:tcW w:type="dxa" w:w="2541"/>
            <w:tcMar>
              <w:top w:w="80" w:type="dxa"/>
              <w:start w:w="100" w:type="dxa"/>
              <w:bottom w:w="80" w:type="dxa"/>
              <w:end w:w="100" w:type="dxa"/>
            </w:tcMar>
            <w:vAlign w:val="center"/>
          </w:tcPr>
          <w:p>
            <w:r>
              <w:t>4</w:t>
            </w:r>
          </w:p>
        </w:tc>
        <w:tc>
          <w:tcPr>
            <w:tcW w:type="dxa" w:w="2541"/>
            <w:tcMar>
              <w:top w:w="80" w:type="dxa"/>
              <w:start w:w="100" w:type="dxa"/>
              <w:bottom w:w="80" w:type="dxa"/>
              <w:end w:w="100" w:type="dxa"/>
            </w:tcMar>
            <w:vAlign w:val="center"/>
            <w:shd w:fill="E8F5E9"/>
          </w:tcPr>
          <w:p>
            <w:r>
              <w:t>Keating</w:t>
            </w:r>
          </w:p>
        </w:tc>
        <w:tc>
          <w:tcPr>
            <w:tcW w:type="dxa" w:w="2541"/>
            <w:tcMar>
              <w:top w:w="80" w:type="dxa"/>
              <w:start w:w="100" w:type="dxa"/>
              <w:bottom w:w="80" w:type="dxa"/>
              <w:end w:w="100" w:type="dxa"/>
            </w:tcMar>
            <w:vAlign w:val="center"/>
          </w:tcPr>
          <w:p>
            <w:r>
              <w:t>P1</w:t>
            </w:r>
          </w:p>
        </w:tc>
        <w:tc>
          <w:tcPr>
            <w:tcW w:type="dxa" w:w="2541"/>
            <w:tcMar>
              <w:top w:w="80" w:type="dxa"/>
              <w:start w:w="100" w:type="dxa"/>
              <w:bottom w:w="80" w:type="dxa"/>
              <w:end w:w="100" w:type="dxa"/>
            </w:tcMar>
            <w:vAlign w:val="center"/>
          </w:tcPr>
          <w:p>
            <w:r>
              <w:t>Regenerate damaged image assets and protect canonical mascot masters</w:t>
            </w:r>
          </w:p>
        </w:tc>
      </w:tr>
      <w:tr>
        <w:tc>
          <w:tcPr>
            <w:tcW w:type="dxa" w:w="2541"/>
            <w:tcMar>
              <w:top w:w="80" w:type="dxa"/>
              <w:start w:w="100" w:type="dxa"/>
              <w:bottom w:w="80" w:type="dxa"/>
              <w:end w:w="100" w:type="dxa"/>
            </w:tcMar>
            <w:vAlign w:val="center"/>
          </w:tcPr>
          <w:p>
            <w:r>
              <w:t>5</w:t>
            </w:r>
          </w:p>
        </w:tc>
        <w:tc>
          <w:tcPr>
            <w:tcW w:type="dxa" w:w="2541"/>
            <w:tcMar>
              <w:top w:w="80" w:type="dxa"/>
              <w:start w:w="100" w:type="dxa"/>
              <w:bottom w:w="80" w:type="dxa"/>
              <w:end w:w="100" w:type="dxa"/>
            </w:tcMar>
            <w:vAlign w:val="center"/>
            <w:shd w:fill="E8F5E9"/>
          </w:tcPr>
          <w:p>
            <w:r>
              <w:t>Keating</w:t>
            </w:r>
          </w:p>
        </w:tc>
        <w:tc>
          <w:tcPr>
            <w:tcW w:type="dxa" w:w="2541"/>
            <w:tcMar>
              <w:top w:w="80" w:type="dxa"/>
              <w:start w:w="100" w:type="dxa"/>
              <w:bottom w:w="80" w:type="dxa"/>
              <w:end w:w="100" w:type="dxa"/>
            </w:tcMar>
            <w:vAlign w:val="center"/>
          </w:tcPr>
          <w:p>
            <w:r>
              <w:t>P0/P1</w:t>
            </w:r>
          </w:p>
        </w:tc>
        <w:tc>
          <w:tcPr>
            <w:tcW w:type="dxa" w:w="2541"/>
            <w:tcMar>
              <w:top w:w="80" w:type="dxa"/>
              <w:start w:w="100" w:type="dxa"/>
              <w:bottom w:w="80" w:type="dxa"/>
              <w:end w:w="100" w:type="dxa"/>
            </w:tcMar>
            <w:vAlign w:val="center"/>
          </w:tcPr>
          <w:p>
            <w:r>
              <w:t>Remove BYOK as the default onboarding bottleneck</w:t>
            </w:r>
          </w:p>
        </w:tc>
      </w:tr>
      <w:tr>
        <w:tc>
          <w:tcPr>
            <w:tcW w:type="dxa" w:w="2541"/>
            <w:tcMar>
              <w:top w:w="80" w:type="dxa"/>
              <w:start w:w="100" w:type="dxa"/>
              <w:bottom w:w="80" w:type="dxa"/>
              <w:end w:w="100" w:type="dxa"/>
            </w:tcMar>
            <w:vAlign w:val="center"/>
          </w:tcPr>
          <w:p>
            <w:r>
              <w:t>6</w:t>
            </w:r>
          </w:p>
        </w:tc>
        <w:tc>
          <w:tcPr>
            <w:tcW w:type="dxa" w:w="2541"/>
            <w:tcMar>
              <w:top w:w="80" w:type="dxa"/>
              <w:start w:w="100" w:type="dxa"/>
              <w:bottom w:w="80" w:type="dxa"/>
              <w:end w:w="100" w:type="dxa"/>
            </w:tcMar>
            <w:vAlign w:val="center"/>
            <w:shd w:fill="E8F5E9"/>
          </w:tcPr>
          <w:p>
            <w:r>
              <w:t>Keating</w:t>
            </w:r>
          </w:p>
        </w:tc>
        <w:tc>
          <w:tcPr>
            <w:tcW w:type="dxa" w:w="2541"/>
            <w:tcMar>
              <w:top w:w="80" w:type="dxa"/>
              <w:start w:w="100" w:type="dxa"/>
              <w:bottom w:w="80" w:type="dxa"/>
              <w:end w:w="100" w:type="dxa"/>
            </w:tcMar>
            <w:vAlign w:val="center"/>
          </w:tcPr>
          <w:p>
            <w:r>
              <w:t>P1</w:t>
            </w:r>
          </w:p>
        </w:tc>
        <w:tc>
          <w:tcPr>
            <w:tcW w:type="dxa" w:w="2541"/>
            <w:tcMar>
              <w:top w:w="80" w:type="dxa"/>
              <w:start w:w="100" w:type="dxa"/>
              <w:bottom w:w="80" w:type="dxa"/>
              <w:end w:w="100" w:type="dxa"/>
            </w:tcMar>
            <w:vAlign w:val="center"/>
          </w:tcPr>
          <w:p>
            <w:r>
              <w:t>Redesign session forking and branch lineage</w:t>
            </w:r>
          </w:p>
        </w:tc>
      </w:tr>
      <w:tr>
        <w:tc>
          <w:tcPr>
            <w:tcW w:type="dxa" w:w="2541"/>
            <w:tcMar>
              <w:top w:w="80" w:type="dxa"/>
              <w:start w:w="100" w:type="dxa"/>
              <w:bottom w:w="80" w:type="dxa"/>
              <w:end w:w="100" w:type="dxa"/>
            </w:tcMar>
            <w:vAlign w:val="center"/>
          </w:tcPr>
          <w:p>
            <w:r>
              <w:t>7</w:t>
            </w:r>
          </w:p>
        </w:tc>
        <w:tc>
          <w:tcPr>
            <w:tcW w:type="dxa" w:w="2541"/>
            <w:tcMar>
              <w:top w:w="80" w:type="dxa"/>
              <w:start w:w="100" w:type="dxa"/>
              <w:bottom w:w="80" w:type="dxa"/>
              <w:end w:w="100" w:type="dxa"/>
            </w:tcMar>
            <w:vAlign w:val="center"/>
            <w:shd w:fill="E8F0FE"/>
          </w:tcPr>
          <w:p>
            <w:r>
              <w:t>Twyne</w:t>
            </w:r>
          </w:p>
        </w:tc>
        <w:tc>
          <w:tcPr>
            <w:tcW w:type="dxa" w:w="2541"/>
            <w:tcMar>
              <w:top w:w="80" w:type="dxa"/>
              <w:start w:w="100" w:type="dxa"/>
              <w:bottom w:w="80" w:type="dxa"/>
              <w:end w:w="100" w:type="dxa"/>
            </w:tcMar>
            <w:vAlign w:val="center"/>
          </w:tcPr>
          <w:p>
            <w:r>
              <w:t>P1</w:t>
            </w:r>
          </w:p>
        </w:tc>
        <w:tc>
          <w:tcPr>
            <w:tcW w:type="dxa" w:w="2541"/>
            <w:tcMar>
              <w:top w:w="80" w:type="dxa"/>
              <w:start w:w="100" w:type="dxa"/>
              <w:bottom w:w="80" w:type="dxa"/>
              <w:end w:w="100" w:type="dxa"/>
            </w:tcMar>
            <w:vAlign w:val="center"/>
          </w:tcPr>
          <w:p>
            <w:r>
              <w:t>Give comment editing enough viewport and scrolling space</w:t>
            </w:r>
          </w:p>
        </w:tc>
      </w:tr>
      <w:tr>
        <w:tc>
          <w:tcPr>
            <w:tcW w:type="dxa" w:w="2541"/>
            <w:tcMar>
              <w:top w:w="80" w:type="dxa"/>
              <w:start w:w="100" w:type="dxa"/>
              <w:bottom w:w="80" w:type="dxa"/>
              <w:end w:w="100" w:type="dxa"/>
            </w:tcMar>
            <w:vAlign w:val="center"/>
          </w:tcPr>
          <w:p>
            <w:r>
              <w:t>8</w:t>
            </w:r>
          </w:p>
        </w:tc>
        <w:tc>
          <w:tcPr>
            <w:tcW w:type="dxa" w:w="2541"/>
            <w:tcMar>
              <w:top w:w="80" w:type="dxa"/>
              <w:start w:w="100" w:type="dxa"/>
              <w:bottom w:w="80" w:type="dxa"/>
              <w:end w:w="100" w:type="dxa"/>
            </w:tcMar>
            <w:vAlign w:val="center"/>
            <w:shd w:fill="E8F0FE"/>
          </w:tcPr>
          <w:p>
            <w:r>
              <w:t>Twyne</w:t>
            </w:r>
          </w:p>
        </w:tc>
        <w:tc>
          <w:tcPr>
            <w:tcW w:type="dxa" w:w="2541"/>
            <w:tcMar>
              <w:top w:w="80" w:type="dxa"/>
              <w:start w:w="100" w:type="dxa"/>
              <w:bottom w:w="80" w:type="dxa"/>
              <w:end w:w="100" w:type="dxa"/>
            </w:tcMar>
            <w:vAlign w:val="center"/>
          </w:tcPr>
          <w:p>
            <w:r>
              <w:t>P2</w:t>
            </w:r>
          </w:p>
        </w:tc>
        <w:tc>
          <w:tcPr>
            <w:tcW w:type="dxa" w:w="2541"/>
            <w:tcMar>
              <w:top w:w="80" w:type="dxa"/>
              <w:start w:w="100" w:type="dxa"/>
              <w:bottom w:w="80" w:type="dxa"/>
              <w:end w:w="100" w:type="dxa"/>
            </w:tcMar>
            <w:vAlign w:val="center"/>
          </w:tcPr>
          <w:p>
            <w:r>
              <w:t>Clean up and standardize Twyne icons</w:t>
            </w:r>
          </w:p>
        </w:tc>
      </w:tr>
      <w:tr>
        <w:tc>
          <w:tcPr>
            <w:tcW w:type="dxa" w:w="2541"/>
            <w:tcMar>
              <w:top w:w="80" w:type="dxa"/>
              <w:start w:w="100" w:type="dxa"/>
              <w:bottom w:w="80" w:type="dxa"/>
              <w:end w:w="100" w:type="dxa"/>
            </w:tcMar>
            <w:vAlign w:val="center"/>
          </w:tcPr>
          <w:p>
            <w:r>
              <w:t>9</w:t>
            </w:r>
          </w:p>
        </w:tc>
        <w:tc>
          <w:tcPr>
            <w:tcW w:type="dxa" w:w="2541"/>
            <w:tcMar>
              <w:top w:w="80" w:type="dxa"/>
              <w:start w:w="100" w:type="dxa"/>
              <w:bottom w:w="80" w:type="dxa"/>
              <w:end w:w="100" w:type="dxa"/>
            </w:tcMar>
            <w:vAlign w:val="center"/>
            <w:shd w:fill="E8F0FE"/>
          </w:tcPr>
          <w:p>
            <w:r>
              <w:t>Twyne</w:t>
            </w:r>
          </w:p>
        </w:tc>
        <w:tc>
          <w:tcPr>
            <w:tcW w:type="dxa" w:w="2541"/>
            <w:tcMar>
              <w:top w:w="80" w:type="dxa"/>
              <w:start w:w="100" w:type="dxa"/>
              <w:bottom w:w="80" w:type="dxa"/>
              <w:end w:w="100" w:type="dxa"/>
            </w:tcMar>
            <w:vAlign w:val="center"/>
          </w:tcPr>
          <w:p>
            <w:r>
              <w:t>P0/P1</w:t>
            </w:r>
          </w:p>
        </w:tc>
        <w:tc>
          <w:tcPr>
            <w:tcW w:type="dxa" w:w="2541"/>
            <w:tcMar>
              <w:top w:w="80" w:type="dxa"/>
              <w:start w:w="100" w:type="dxa"/>
              <w:bottom w:w="80" w:type="dxa"/>
              <w:end w:w="100" w:type="dxa"/>
            </w:tcMar>
            <w:vAlign w:val="center"/>
          </w:tcPr>
          <w:p>
            <w:r>
              <w:t>Stream TTS to reduce time-to-first-audio</w:t>
            </w:r>
          </w:p>
        </w:tc>
      </w:tr>
      <w:tr>
        <w:tc>
          <w:tcPr>
            <w:tcW w:type="dxa" w:w="2541"/>
            <w:tcMar>
              <w:top w:w="80" w:type="dxa"/>
              <w:start w:w="100" w:type="dxa"/>
              <w:bottom w:w="80" w:type="dxa"/>
              <w:end w:w="100" w:type="dxa"/>
            </w:tcMar>
            <w:vAlign w:val="center"/>
          </w:tcPr>
          <w:p>
            <w:r>
              <w:t>10</w:t>
            </w:r>
          </w:p>
        </w:tc>
        <w:tc>
          <w:tcPr>
            <w:tcW w:type="dxa" w:w="2541"/>
            <w:tcMar>
              <w:top w:w="80" w:type="dxa"/>
              <w:start w:w="100" w:type="dxa"/>
              <w:bottom w:w="80" w:type="dxa"/>
              <w:end w:w="100" w:type="dxa"/>
            </w:tcMar>
            <w:vAlign w:val="center"/>
            <w:shd w:fill="E8F0FE"/>
          </w:tcPr>
          <w:p>
            <w:r>
              <w:t>Twyne</w:t>
            </w:r>
          </w:p>
        </w:tc>
        <w:tc>
          <w:tcPr>
            <w:tcW w:type="dxa" w:w="2541"/>
            <w:tcMar>
              <w:top w:w="80" w:type="dxa"/>
              <w:start w:w="100" w:type="dxa"/>
              <w:bottom w:w="80" w:type="dxa"/>
              <w:end w:w="100" w:type="dxa"/>
            </w:tcMar>
            <w:vAlign w:val="center"/>
          </w:tcPr>
          <w:p>
            <w:r>
              <w:t>P0/P1</w:t>
            </w:r>
          </w:p>
        </w:tc>
        <w:tc>
          <w:tcPr>
            <w:tcW w:type="dxa" w:w="2541"/>
            <w:tcMar>
              <w:top w:w="80" w:type="dxa"/>
              <w:start w:w="100" w:type="dxa"/>
              <w:bottom w:w="80" w:type="dxa"/>
              <w:end w:w="100" w:type="dxa"/>
            </w:tcMar>
            <w:vAlign w:val="center"/>
          </w:tcPr>
          <w:p>
            <w:r>
              <w:t>Fix voice/text highlighting drift with real alignment metadata</w:t>
            </w:r>
          </w:p>
        </w:tc>
      </w:tr>
      <w:tr>
        <w:tc>
          <w:tcPr>
            <w:tcW w:type="dxa" w:w="2541"/>
            <w:tcMar>
              <w:top w:w="80" w:type="dxa"/>
              <w:start w:w="100" w:type="dxa"/>
              <w:bottom w:w="80" w:type="dxa"/>
              <w:end w:w="100" w:type="dxa"/>
            </w:tcMar>
            <w:vAlign w:val="center"/>
          </w:tcPr>
          <w:p>
            <w:r>
              <w:t>11</w:t>
            </w:r>
          </w:p>
        </w:tc>
        <w:tc>
          <w:tcPr>
            <w:tcW w:type="dxa" w:w="2541"/>
            <w:tcMar>
              <w:top w:w="80" w:type="dxa"/>
              <w:start w:w="100" w:type="dxa"/>
              <w:bottom w:w="80" w:type="dxa"/>
              <w:end w:w="100" w:type="dxa"/>
            </w:tcMar>
            <w:vAlign w:val="center"/>
            <w:shd w:fill="E8F0FE"/>
          </w:tcPr>
          <w:p>
            <w:r>
              <w:t>Twyne</w:t>
            </w:r>
          </w:p>
        </w:tc>
        <w:tc>
          <w:tcPr>
            <w:tcW w:type="dxa" w:w="2541"/>
            <w:tcMar>
              <w:top w:w="80" w:type="dxa"/>
              <w:start w:w="100" w:type="dxa"/>
              <w:bottom w:w="80" w:type="dxa"/>
              <w:end w:w="100" w:type="dxa"/>
            </w:tcMar>
            <w:vAlign w:val="center"/>
          </w:tcPr>
          <w:p>
            <w:r>
              <w:t>P1</w:t>
            </w:r>
          </w:p>
        </w:tc>
        <w:tc>
          <w:tcPr>
            <w:tcW w:type="dxa" w:w="2541"/>
            <w:tcMar>
              <w:top w:w="80" w:type="dxa"/>
              <w:start w:w="100" w:type="dxa"/>
              <w:bottom w:w="80" w:type="dxa"/>
              <w:end w:w="100" w:type="dxa"/>
            </w:tcMar>
            <w:vAlign w:val="center"/>
          </w:tcPr>
          <w:p>
            <w:r>
              <w:t>Redesign the table maker controls</w:t>
            </w:r>
          </w:p>
        </w:tc>
      </w:tr>
      <w:tr>
        <w:tc>
          <w:tcPr>
            <w:tcW w:type="dxa" w:w="2541"/>
            <w:tcMar>
              <w:top w:w="80" w:type="dxa"/>
              <w:start w:w="100" w:type="dxa"/>
              <w:bottom w:w="80" w:type="dxa"/>
              <w:end w:w="100" w:type="dxa"/>
            </w:tcMar>
            <w:vAlign w:val="center"/>
          </w:tcPr>
          <w:p>
            <w:r>
              <w:t>12</w:t>
            </w:r>
          </w:p>
        </w:tc>
        <w:tc>
          <w:tcPr>
            <w:tcW w:type="dxa" w:w="2541"/>
            <w:tcMar>
              <w:top w:w="80" w:type="dxa"/>
              <w:start w:w="100" w:type="dxa"/>
              <w:bottom w:w="80" w:type="dxa"/>
              <w:end w:w="100" w:type="dxa"/>
            </w:tcMar>
            <w:vAlign w:val="center"/>
            <w:shd w:fill="E8F0FE"/>
          </w:tcPr>
          <w:p>
            <w:r>
              <w:t>Twyne</w:t>
            </w:r>
          </w:p>
        </w:tc>
        <w:tc>
          <w:tcPr>
            <w:tcW w:type="dxa" w:w="2541"/>
            <w:tcMar>
              <w:top w:w="80" w:type="dxa"/>
              <w:start w:w="100" w:type="dxa"/>
              <w:bottom w:w="80" w:type="dxa"/>
              <w:end w:w="100" w:type="dxa"/>
            </w:tcMar>
            <w:vAlign w:val="center"/>
          </w:tcPr>
          <w:p>
            <w:r>
              <w:t>P0/P1</w:t>
            </w:r>
          </w:p>
        </w:tc>
        <w:tc>
          <w:tcPr>
            <w:tcW w:type="dxa" w:w="2541"/>
            <w:tcMar>
              <w:top w:w="80" w:type="dxa"/>
              <w:start w:w="100" w:type="dxa"/>
              <w:bottom w:w="80" w:type="dxa"/>
              <w:end w:w="100" w:type="dxa"/>
            </w:tcMar>
            <w:vAlign w:val="center"/>
          </w:tcPr>
          <w:p>
            <w:r>
              <w:t>Fix slash-command Enter selection after filtering/reordering</w:t>
            </w:r>
          </w:p>
        </w:tc>
      </w:tr>
      <w:tr>
        <w:tc>
          <w:tcPr>
            <w:tcW w:type="dxa" w:w="2541"/>
            <w:tcMar>
              <w:top w:w="80" w:type="dxa"/>
              <w:start w:w="100" w:type="dxa"/>
              <w:bottom w:w="80" w:type="dxa"/>
              <w:end w:w="100" w:type="dxa"/>
            </w:tcMar>
            <w:vAlign w:val="center"/>
          </w:tcPr>
          <w:p>
            <w:r>
              <w:t>13</w:t>
            </w:r>
          </w:p>
        </w:tc>
        <w:tc>
          <w:tcPr>
            <w:tcW w:type="dxa" w:w="2541"/>
            <w:tcMar>
              <w:top w:w="80" w:type="dxa"/>
              <w:start w:w="100" w:type="dxa"/>
              <w:bottom w:w="80" w:type="dxa"/>
              <w:end w:w="100" w:type="dxa"/>
            </w:tcMar>
            <w:vAlign w:val="center"/>
            <w:shd w:fill="E8F0FE"/>
          </w:tcPr>
          <w:p>
            <w:r>
              <w:t>Twyne</w:t>
            </w:r>
          </w:p>
        </w:tc>
        <w:tc>
          <w:tcPr>
            <w:tcW w:type="dxa" w:w="2541"/>
            <w:tcMar>
              <w:top w:w="80" w:type="dxa"/>
              <w:start w:w="100" w:type="dxa"/>
              <w:bottom w:w="80" w:type="dxa"/>
              <w:end w:w="100" w:type="dxa"/>
            </w:tcMar>
            <w:vAlign w:val="center"/>
          </w:tcPr>
          <w:p>
            <w:r>
              <w:t>P0/P1</w:t>
            </w:r>
          </w:p>
        </w:tc>
        <w:tc>
          <w:tcPr>
            <w:tcW w:type="dxa" w:w="2541"/>
            <w:tcMar>
              <w:top w:w="80" w:type="dxa"/>
              <w:start w:w="100" w:type="dxa"/>
              <w:bottom w:w="80" w:type="dxa"/>
              <w:end w:w="100" w:type="dxa"/>
            </w:tcMar>
            <w:vAlign w:val="center"/>
          </w:tcPr>
          <w:p>
            <w:r>
              <w:t>Scope Galley editors, apparatus, and sources per folio</w:t>
            </w:r>
          </w:p>
        </w:tc>
      </w:tr>
      <w:tr>
        <w:tc>
          <w:tcPr>
            <w:tcW w:type="dxa" w:w="2541"/>
            <w:tcMar>
              <w:top w:w="80" w:type="dxa"/>
              <w:start w:w="100" w:type="dxa"/>
              <w:bottom w:w="80" w:type="dxa"/>
              <w:end w:w="100" w:type="dxa"/>
            </w:tcMar>
            <w:vAlign w:val="center"/>
          </w:tcPr>
          <w:p>
            <w:r>
              <w:t>14</w:t>
            </w:r>
          </w:p>
        </w:tc>
        <w:tc>
          <w:tcPr>
            <w:tcW w:type="dxa" w:w="2541"/>
            <w:tcMar>
              <w:top w:w="80" w:type="dxa"/>
              <w:start w:w="100" w:type="dxa"/>
              <w:bottom w:w="80" w:type="dxa"/>
              <w:end w:w="100" w:type="dxa"/>
            </w:tcMar>
            <w:vAlign w:val="center"/>
            <w:shd w:fill="E8F0FE"/>
          </w:tcPr>
          <w:p>
            <w:r>
              <w:t>Twyne</w:t>
            </w:r>
          </w:p>
        </w:tc>
        <w:tc>
          <w:tcPr>
            <w:tcW w:type="dxa" w:w="2541"/>
            <w:tcMar>
              <w:top w:w="80" w:type="dxa"/>
              <w:start w:w="100" w:type="dxa"/>
              <w:bottom w:w="80" w:type="dxa"/>
              <w:end w:w="100" w:type="dxa"/>
            </w:tcMar>
            <w:vAlign w:val="center"/>
          </w:tcPr>
          <w:p>
            <w:r>
              <w:t>P1</w:t>
            </w:r>
          </w:p>
        </w:tc>
        <w:tc>
          <w:tcPr>
            <w:tcW w:type="dxa" w:w="2541"/>
            <w:tcMar>
              <w:top w:w="80" w:type="dxa"/>
              <w:start w:w="100" w:type="dxa"/>
              <w:bottom w:w="80" w:type="dxa"/>
              <w:end w:w="100" w:type="dxa"/>
            </w:tcMar>
            <w:vAlign w:val="center"/>
          </w:tcPr>
          <w:p>
            <w:r>
              <w:t>Keep the conversation input visible without page scrolling</w:t>
            </w:r>
          </w:p>
        </w:tc>
      </w:tr>
    </w:tbl>
    <w:p>
      <w:r>
        <w:br w:type="page"/>
      </w:r>
    </w:p>
    <w:p>
      <w:pPr>
        <w:pStyle w:val="Heading1"/>
      </w:pPr>
      <w:r>
        <w:t>Keating issues</w:t>
      </w:r>
      <w:r>
        <w:rPr>
          <w:i/>
        </w:rPr>
        <w:t xml:space="preserve"> — reliability, activation, and core interaction design</w:t>
      </w:r>
    </w:p>
    <w:p>
      <w:pPr>
        <w:pStyle w:val="IssueTitle"/>
      </w:pPr>
      <w:r>
        <w:t>01. Fix stamping UI hang after replacement completes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Keating</w:t>
            </w:r>
          </w:p>
        </w:tc>
        <w:tc>
          <w:tcPr>
            <w:tcW w:type="dxa" w:w="2541"/>
            <w:tcMar>
              <w:top w:w="80" w:type="dxa"/>
              <w:start w:w="100" w:type="dxa"/>
              <w:bottom w:w="80" w:type="dxa"/>
              <w:end w:w="100" w:type="dxa"/>
            </w:tcMar>
            <w:shd w:fill="FDE7E9"/>
          </w:tcPr>
          <w:p>
            <w:r>
              <w:rPr>
                <w:b/>
                <w:color w:val="646A73"/>
                <w:sz w:val="16"/>
              </w:rPr>
              <w:t>Priority</w:t>
              <w:br/>
            </w:r>
            <w:r>
              <w:rPr>
                <w:sz w:val="18"/>
              </w:rPr>
              <w:t>P0</w:t>
            </w:r>
          </w:p>
        </w:tc>
        <w:tc>
          <w:tcPr>
            <w:tcW w:type="dxa" w:w="2541"/>
            <w:tcMar>
              <w:top w:w="80" w:type="dxa"/>
              <w:start w:w="100" w:type="dxa"/>
              <w:bottom w:w="80" w:type="dxa"/>
              <w:end w:w="100" w:type="dxa"/>
            </w:tcMar>
            <w:shd w:fill="F6F8FA"/>
          </w:tcPr>
          <w:p>
            <w:r>
              <w:rPr>
                <w:b/>
                <w:color w:val="646A73"/>
                <w:sz w:val="16"/>
              </w:rPr>
              <w:t>Type</w:t>
              <w:br/>
            </w:r>
            <w:r>
              <w:rPr>
                <w:sz w:val="18"/>
              </w:rPr>
              <w:t>Bug / reliability</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Text replacement can finish successfully while the stamping operation remains visually stuck in a loading/pending state indefinitely. The edit itself appears to be complete; the failure is in lifecycle completion, acknowledgement, or state reset. This makes a successful action look broken and undermines trust in the editor.</w:t>
      </w:r>
    </w:p>
    <w:p>
      <w:pPr>
        <w:pStyle w:val="IssueSection"/>
      </w:pPr>
      <w:r>
        <w:t>Product intuition</w:t>
      </w:r>
    </w:p>
    <w:p>
      <w:r>
        <w:t>Treat stamping as an explicit state machine rather than a single boolean spinner. The UI should have a well-defined terminal state for success, error, and cancellation.</w:t>
      </w:r>
    </w:p>
    <w:p>
      <w:pPr>
        <w:pStyle w:val="IssueSection"/>
      </w:pPr>
      <w:r>
        <w:t>Implementation direction</w:t>
      </w:r>
    </w:p>
    <w:p>
      <w:pPr>
        <w:pStyle w:val="ListBullet"/>
      </w:pPr>
      <w:r>
        <w:t>Trace the operation lifecycle as: requested → processing → applied → persisted → acknowledged → idle/error.</w:t>
      </w:r>
    </w:p>
    <w:p>
      <w:pPr>
        <w:pStyle w:val="ListBullet"/>
      </w:pPr>
      <w:r>
        <w:t>Inspect unresolved promises, stale streaming state, missing acknowledgement events, and state keyed to a pre-replacement object or message ID.</w:t>
      </w:r>
    </w:p>
    <w:p>
      <w:pPr>
        <w:pStyle w:val="ListBullet"/>
      </w:pPr>
      <w:r>
        <w:t>Ensure cleanup/finally logic clears pending state even if persistence or UI reconciliation throws after the text was already applied.</w:t>
      </w:r>
    </w:p>
    <w:p>
      <w:pPr>
        <w:pStyle w:val="ListBullet"/>
      </w:pPr>
      <w:r>
        <w:t>Avoid tying completion solely to the mutation payload if the actual editor update happens asynchronously.</w:t>
      </w:r>
    </w:p>
    <w:p>
      <w:pPr>
        <w:pStyle w:val="IssueSection"/>
      </w:pPr>
      <w:r>
        <w:t>Acceptance criteria</w:t>
      </w:r>
    </w:p>
    <w:p>
      <w:pPr>
        <w:pStyle w:val="ListBullet"/>
      </w:pPr>
      <w:r>
        <w:t>A successful replacement always returns the UI to idle.</w:t>
      </w:r>
    </w:p>
    <w:p>
      <w:pPr>
        <w:pStyle w:val="ListBullet"/>
      </w:pPr>
      <w:r>
        <w:t>A failed replacement always clears loading state and shows a useful error.</w:t>
      </w:r>
    </w:p>
    <w:p>
      <w:pPr>
        <w:pStyle w:val="ListBullet"/>
      </w:pPr>
      <w:r>
        <w:t>Cancellation exits cleanly and does not leave the editor stuck.</w:t>
      </w:r>
    </w:p>
    <w:p>
      <w:pPr>
        <w:pStyle w:val="ListBullet"/>
      </w:pPr>
      <w:r>
        <w:t>The completed edit remains intact after the state transition.</w:t>
      </w:r>
    </w:p>
    <w:p>
      <w:pPr>
        <w:pStyle w:val="IssueSection"/>
      </w:pPr>
      <w:r>
        <w:t>Regression / test cases</w:t>
      </w:r>
    </w:p>
    <w:p>
      <w:pPr>
        <w:pStyle w:val="ListBullet"/>
      </w:pPr>
      <w:r>
        <w:t>Regression test: successful stamping cannot remain pending indefinitely.</w:t>
      </w:r>
    </w:p>
    <w:p>
      <w:pPr>
        <w:pStyle w:val="ListBullet"/>
      </w:pPr>
      <w:r>
        <w:t>Simulate persistence success + delayed acknowledgement.</w:t>
      </w:r>
    </w:p>
    <w:p>
      <w:pPr>
        <w:pStyle w:val="ListBullet"/>
      </w:pPr>
      <w:r>
        <w:t>Simulate failure after local text replacement but before persistence acknowledgement.</w:t>
      </w:r>
    </w:p>
    <w:p>
      <w:pPr>
        <w:pStyle w:val="ListBullet"/>
      </w:pPr>
      <w:r>
        <w:t>Repeat stamping twice in succession to catch stale-state reuse.</w:t>
      </w:r>
    </w:p>
    <w:p>
      <w:pPr>
        <w:pStyle w:val="IssueSection"/>
      </w:pPr>
      <w:r>
        <w:t>Metrics / validation</w:t>
      </w:r>
    </w:p>
    <w:p>
      <w:pPr>
        <w:pStyle w:val="ListBullet"/>
      </w:pPr>
      <w:r>
        <w:t>No stuck stamping sessions in normal use.</w:t>
      </w:r>
    </w:p>
    <w:p>
      <w:pPr>
        <w:pStyle w:val="ListBullet"/>
      </w:pPr>
      <w:r>
        <w:t>Time from replacement completion to idle state should be effectively immediate once acknowledgement arrives.</w:t>
      </w:r>
    </w:p>
    <w:p/>
    <w:p>
      <w:r>
        <w:t>——————————————————————————————————————————</w:t>
      </w:r>
    </w:p>
    <w:p/>
    <w:p>
      <w:pPr>
        <w:pStyle w:val="IssueTitle"/>
      </w:pPr>
      <w:r>
        <w:t>02. Fix unreadable bottom text over glow in dark mode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Keating</w:t>
            </w:r>
          </w:p>
        </w:tc>
        <w:tc>
          <w:tcPr>
            <w:tcW w:type="dxa" w:w="2541"/>
            <w:tcMar>
              <w:top w:w="80" w:type="dxa"/>
              <w:start w:w="100" w:type="dxa"/>
              <w:bottom w:w="80" w:type="dxa"/>
              <w:end w:w="100" w:type="dxa"/>
            </w:tcMar>
            <w:shd w:fill="FDE7E9"/>
          </w:tcPr>
          <w:p>
            <w:r>
              <w:rPr>
                <w:b/>
                <w:color w:val="646A73"/>
                <w:sz w:val="16"/>
              </w:rPr>
              <w:t>Priority</w:t>
              <w:br/>
            </w:r>
            <w:r>
              <w:rPr>
                <w:sz w:val="18"/>
              </w:rPr>
              <w:t>P0</w:t>
            </w:r>
          </w:p>
        </w:tc>
        <w:tc>
          <w:tcPr>
            <w:tcW w:type="dxa" w:w="2541"/>
            <w:tcMar>
              <w:top w:w="80" w:type="dxa"/>
              <w:start w:w="100" w:type="dxa"/>
              <w:bottom w:w="80" w:type="dxa"/>
              <w:end w:w="100" w:type="dxa"/>
            </w:tcMar>
            <w:shd w:fill="F6F8FA"/>
          </w:tcPr>
          <w:p>
            <w:r>
              <w:rPr>
                <w:b/>
                <w:color w:val="646A73"/>
                <w:sz w:val="16"/>
              </w:rPr>
              <w:t>Type</w:t>
              <w:br/>
            </w:r>
            <w:r>
              <w:rPr>
                <w:sz w:val="18"/>
              </w:rPr>
              <w:t>Dark-mode UX bug</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In dark mode, the glow at the bottom of the Keating conversation/editor surface washes out nearby text. The text color does not provide enough contrast over the strongest part of the glow, making prompt/input content difficult or impossible to read.</w:t>
      </w:r>
    </w:p>
    <w:p>
      <w:pPr>
        <w:pStyle w:val="IssueSection"/>
      </w:pPr>
      <w:r>
        <w:t>Implementation direction</w:t>
      </w:r>
    </w:p>
    <w:p>
      <w:pPr>
        <w:pStyle w:val="ListBullet"/>
      </w:pPr>
      <w:r>
        <w:t>Use semantic dark-mode foreground tokens for the composer/input region rather than inheriting a color designed for the light theme.</w:t>
      </w:r>
    </w:p>
    <w:p>
      <w:pPr>
        <w:pStyle w:val="ListBullet"/>
      </w:pPr>
      <w:r>
        <w:t>Verify entered text, placeholder text, helper text, disabled controls, and secondary button labels independently.</w:t>
      </w:r>
    </w:p>
    <w:p>
      <w:pPr>
        <w:pStyle w:val="ListBullet"/>
      </w:pPr>
      <w:r>
        <w:t>If necessary, reduce glow opacity/blur directly behind text or introduce a subtle surface/background layer rather than relying only on brighter text.</w:t>
      </w:r>
    </w:p>
    <w:p>
      <w:pPr>
        <w:pStyle w:val="IssueSection"/>
      </w:pPr>
      <w:r>
        <w:t>Acceptance criteria</w:t>
      </w:r>
    </w:p>
    <w:p>
      <w:pPr>
        <w:pStyle w:val="ListBullet"/>
      </w:pPr>
      <w:r>
        <w:t>Prompt/input text remains clearly readable across the full glow area in dark mode.</w:t>
      </w:r>
    </w:p>
    <w:p>
      <w:pPr>
        <w:pStyle w:val="ListBullet"/>
      </w:pPr>
      <w:r>
        <w:t>Placeholder and secondary text remain visually subordinate but still legible.</w:t>
      </w:r>
    </w:p>
    <w:p>
      <w:pPr>
        <w:pStyle w:val="ListBullet"/>
      </w:pPr>
      <w:r>
        <w:t>The fix does not make the light theme overly high contrast.</w:t>
      </w:r>
    </w:p>
    <w:p>
      <w:pPr>
        <w:pStyle w:val="ListBullet"/>
      </w:pPr>
      <w:r>
        <w:t>Check common viewport widths and monitor brightness levels.</w:t>
      </w:r>
    </w:p>
    <w:p>
      <w:pPr>
        <w:pStyle w:val="IssueSection"/>
      </w:pPr>
      <w:r>
        <w:t>Regression / test cases</w:t>
      </w:r>
    </w:p>
    <w:p>
      <w:pPr>
        <w:pStyle w:val="ListBullet"/>
      </w:pPr>
      <w:r>
        <w:t>Visual regression screenshot for dark mode composer area.</w:t>
      </w:r>
    </w:p>
    <w:p>
      <w:pPr>
        <w:pStyle w:val="ListBullet"/>
      </w:pPr>
      <w:r>
        <w:t>Check both empty and populated input states.</w:t>
      </w:r>
    </w:p>
    <w:p>
      <w:pPr>
        <w:pStyle w:val="ListBullet"/>
      </w:pPr>
      <w:r>
        <w:t>Check hover/focus/disabled states for controls near the glow.</w:t>
      </w:r>
    </w:p>
    <w:p/>
    <w:p>
      <w:r>
        <w:t>——————————————————————————————————————————</w:t>
      </w:r>
    </w:p>
    <w:p/>
    <w:p>
      <w:pPr>
        <w:pStyle w:val="IssueTitle"/>
      </w:pPr>
      <w:r>
        <w:t>03. Feature-flag the current Canvas experience until it is redesigned</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Keating</w:t>
            </w:r>
          </w:p>
        </w:tc>
        <w:tc>
          <w:tcPr>
            <w:tcW w:type="dxa" w:w="2541"/>
            <w:tcMar>
              <w:top w:w="80" w:type="dxa"/>
              <w:start w:w="100" w:type="dxa"/>
              <w:bottom w:w="80" w:type="dxa"/>
              <w:end w:w="100" w:type="dxa"/>
            </w:tcMar>
            <w:shd w:fill="FDE7E9"/>
          </w:tcPr>
          <w:p>
            <w:r>
              <w:rPr>
                <w:b/>
                <w:color w:val="646A73"/>
                <w:sz w:val="16"/>
              </w:rPr>
              <w:t>Priority</w:t>
              <w:br/>
            </w:r>
            <w:r>
              <w:rPr>
                <w:sz w:val="18"/>
              </w:rPr>
              <w:t>P0/P1</w:t>
            </w:r>
          </w:p>
        </w:tc>
        <w:tc>
          <w:tcPr>
            <w:tcW w:type="dxa" w:w="2541"/>
            <w:tcMar>
              <w:top w:w="80" w:type="dxa"/>
              <w:start w:w="100" w:type="dxa"/>
              <w:bottom w:w="80" w:type="dxa"/>
              <w:end w:w="100" w:type="dxa"/>
            </w:tcMar>
            <w:shd w:fill="F6F8FA"/>
          </w:tcPr>
          <w:p>
            <w:r>
              <w:rPr>
                <w:b/>
                <w:color w:val="646A73"/>
                <w:sz w:val="16"/>
              </w:rPr>
              <w:t>Type</w:t>
              <w:br/>
            </w:r>
            <w:r>
              <w:rPr>
                <w:sz w:val="18"/>
              </w:rPr>
              <w:t>Feature flag / redesign</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The current Canvas experience is not good enough to expose broadly and currently lowers perceived product quality. It risks consuming engineering time while more important reliability and activation work remains.</w:t>
      </w:r>
    </w:p>
    <w:p>
      <w:pPr>
        <w:pStyle w:val="IssueSection"/>
      </w:pPr>
      <w:r>
        <w:t>Product intuition</w:t>
      </w:r>
    </w:p>
    <w:p>
      <w:r>
        <w:t>Do not rescue a weak experimental subsystem simply because it already exists. Hide it from the normal user path, keep it available for internal testing, and revisit the interaction model later.</w:t>
      </w:r>
    </w:p>
    <w:p>
      <w:pPr>
        <w:pStyle w:val="IssueSection"/>
      </w:pPr>
      <w:r>
        <w:t>Implementation direction</w:t>
      </w:r>
    </w:p>
    <w:p>
      <w:pPr>
        <w:pStyle w:val="ListBullet"/>
      </w:pPr>
      <w:r>
        <w:t>Put Canvas behind a feature flag or internal/experimental toggle.</w:t>
      </w:r>
    </w:p>
    <w:p>
      <w:pPr>
        <w:pStyle w:val="ListBullet"/>
      </w:pPr>
      <w:r>
        <w:t>Remove it from default navigation/flows for ordinary users.</w:t>
      </w:r>
    </w:p>
    <w:p>
      <w:pPr>
        <w:pStyle w:val="ListBullet"/>
      </w:pPr>
      <w:r>
        <w:t>Preserve access for development and user-testing cohorts.</w:t>
      </w:r>
    </w:p>
    <w:p>
      <w:pPr>
        <w:pStyle w:val="ListBullet"/>
      </w:pPr>
      <w:r>
        <w:t>When revisiting, define the job Canvas should do before polishing the current interaction.</w:t>
      </w:r>
    </w:p>
    <w:p>
      <w:pPr>
        <w:pStyle w:val="IssueSection"/>
      </w:pPr>
      <w:r>
        <w:t>Acceptance criteria</w:t>
      </w:r>
    </w:p>
    <w:p>
      <w:pPr>
        <w:pStyle w:val="ListBullet"/>
      </w:pPr>
      <w:r>
        <w:t>Normal users do not encounter Canvas unless explicitly enabled.</w:t>
      </w:r>
    </w:p>
    <w:p>
      <w:pPr>
        <w:pStyle w:val="ListBullet"/>
      </w:pPr>
      <w:r>
        <w:t>Internal/dev users can still enable and test it.</w:t>
      </w:r>
    </w:p>
    <w:p>
      <w:pPr>
        <w:pStyle w:val="ListBullet"/>
      </w:pPr>
      <w:r>
        <w:t>No broken navigation or dead CTAs remain after hiding it.</w:t>
      </w:r>
    </w:p>
    <w:p>
      <w:pPr>
        <w:pStyle w:val="ListBullet"/>
      </w:pPr>
      <w:r>
        <w:t>Analytics can distinguish Canvas-enabled cohorts if needed.</w:t>
      </w:r>
    </w:p>
    <w:p/>
    <w:p>
      <w:r>
        <w:t>——————————————————————————————————————————</w:t>
      </w:r>
    </w:p>
    <w:p/>
    <w:p>
      <w:pPr>
        <w:pStyle w:val="IssueTitle"/>
      </w:pPr>
      <w:r>
        <w:t>04. Regenerate damaged image assets and protect canonical mascot masters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Keating</w:t>
            </w:r>
          </w:p>
        </w:tc>
        <w:tc>
          <w:tcPr>
            <w:tcW w:type="dxa" w:w="2541"/>
            <w:tcMar>
              <w:top w:w="80" w:type="dxa"/>
              <w:start w:w="100" w:type="dxa"/>
              <w:bottom w:w="80" w:type="dxa"/>
              <w:end w:w="100" w:type="dxa"/>
            </w:tcMar>
            <w:shd w:fill="FFF3CD"/>
          </w:tcPr>
          <w:p>
            <w:r>
              <w:rPr>
                <w:b/>
                <w:color w:val="646A73"/>
                <w:sz w:val="16"/>
              </w:rPr>
              <w:t>Priority</w:t>
              <w:br/>
            </w:r>
            <w:r>
              <w:rPr>
                <w:sz w:val="18"/>
              </w:rPr>
              <w:t>P1</w:t>
            </w:r>
          </w:p>
        </w:tc>
        <w:tc>
          <w:tcPr>
            <w:tcW w:type="dxa" w:w="2541"/>
            <w:tcMar>
              <w:top w:w="80" w:type="dxa"/>
              <w:start w:w="100" w:type="dxa"/>
              <w:bottom w:w="80" w:type="dxa"/>
              <w:end w:w="100" w:type="dxa"/>
            </w:tcMar>
            <w:shd w:fill="F6F8FA"/>
          </w:tcPr>
          <w:p>
            <w:r>
              <w:rPr>
                <w:b/>
                <w:color w:val="646A73"/>
                <w:sz w:val="16"/>
              </w:rPr>
              <w:t>Type</w:t>
              <w:br/>
            </w:r>
            <w:r>
              <w:rPr>
                <w:sz w:val="18"/>
              </w:rPr>
              <w:t>Asset quality / visual system</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Some Keating images were damaged by background removal. A named example is `cap-evolutionary.png`. The earlier mascot source also showed visible degradation from destructive background removal.</w:t>
      </w:r>
    </w:p>
    <w:p>
      <w:pPr>
        <w:pStyle w:val="IssueSection"/>
      </w:pPr>
      <w:r>
        <w:t>Product intuition</w:t>
      </w:r>
    </w:p>
    <w:p>
      <w:r>
        <w:t>The regenerated Keating bot now provides a stronger canonical visual reference: cream retro-futurist chassis, black articulated joints, bright green CRT-like face and accents, green side pieces, Keating chest mark, friendly toy-like proportions, and warm glossy materials.</w:t>
      </w:r>
    </w:p>
    <w:p>
      <w:pPr>
        <w:pStyle w:val="IssueSection"/>
      </w:pPr>
      <w:r>
        <w:t>Implementation direction</w:t>
      </w:r>
    </w:p>
    <w:p>
      <w:pPr>
        <w:pStyle w:val="ListBullet"/>
      </w:pPr>
      <w:r>
        <w:t>Regenerate `cap-evolutionary.png` from a clean source rather than trying to repair a mangled cutout.</w:t>
      </w:r>
    </w:p>
    <w:p>
      <w:pPr>
        <w:pStyle w:val="ListBullet"/>
      </w:pPr>
      <w:r>
        <w:t>Audit other image assets for halos, clipped geometry, missing shadows, jagged masks, or background-removal artifacts.</w:t>
      </w:r>
    </w:p>
    <w:p>
      <w:pPr>
        <w:pStyle w:val="ListBullet"/>
      </w:pPr>
      <w:r>
        <w:t>Keep an intact full-background master for every important render.</w:t>
      </w:r>
    </w:p>
    <w:p>
      <w:pPr>
        <w:pStyle w:val="ListBullet"/>
      </w:pPr>
      <w:r>
        <w:t>Derive transparent variants non-destructively from the master and never overwrite the source.</w:t>
      </w:r>
    </w:p>
    <w:p>
      <w:pPr>
        <w:pStyle w:val="ListBullet"/>
      </w:pPr>
      <w:r>
        <w:t>Use the regenerated bot as the style reference for future mascot renders so visual identity does not drift.</w:t>
      </w:r>
    </w:p>
    <w:p>
      <w:pPr>
        <w:pStyle w:val="IssueSection"/>
      </w:pPr>
      <w:r>
        <w:t>Acceptance criteria</w:t>
      </w:r>
    </w:p>
    <w:p>
      <w:pPr>
        <w:pStyle w:val="ListBullet"/>
      </w:pPr>
      <w:r>
        <w:t>`cap-evolutionary.png` is replaced with a clean render.</w:t>
      </w:r>
    </w:p>
    <w:p>
      <w:pPr>
        <w:pStyle w:val="ListBullet"/>
      </w:pPr>
      <w:r>
        <w:t>No obvious mask/background-removal damage remains in production assets.</w:t>
      </w:r>
    </w:p>
    <w:p>
      <w:pPr>
        <w:pStyle w:val="ListBullet"/>
      </w:pPr>
      <w:r>
        <w:t>Canonical full-background masters are stored separately from transparent derivatives.</w:t>
      </w:r>
    </w:p>
    <w:p>
      <w:pPr>
        <w:pStyle w:val="ListBullet"/>
      </w:pPr>
      <w:r>
        <w:t>Future renders match the agreed Keating bot style closely.</w:t>
      </w:r>
    </w:p>
    <w:p>
      <w:pPr>
        <w:pStyle w:val="IssueSection"/>
      </w:pPr>
      <w:r>
        <w:t>Notes</w:t>
      </w:r>
    </w:p>
    <w:p>
      <w:r>
        <w:t>The mascot is now strong enough to support expressive variants (friendly → concerned → disappointed → irritated → angry → absurdly furious) for social content and merch, but those variants should preserve the same core model/style.</w:t>
      </w:r>
    </w:p>
    <w:p/>
    <w:p>
      <w:r>
        <w:t>——————————————————————————————————————————</w:t>
      </w:r>
    </w:p>
    <w:p/>
    <w:p>
      <w:pPr>
        <w:pStyle w:val="IssueTitle"/>
      </w:pPr>
      <w:r>
        <w:t>05. Remove BYOK as the default onboarding bottleneck</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Keating</w:t>
            </w:r>
          </w:p>
        </w:tc>
        <w:tc>
          <w:tcPr>
            <w:tcW w:type="dxa" w:w="2541"/>
            <w:tcMar>
              <w:top w:w="80" w:type="dxa"/>
              <w:start w:w="100" w:type="dxa"/>
              <w:bottom w:w="80" w:type="dxa"/>
              <w:end w:w="100" w:type="dxa"/>
            </w:tcMar>
            <w:shd w:fill="FDE7E9"/>
          </w:tcPr>
          <w:p>
            <w:r>
              <w:rPr>
                <w:b/>
                <w:color w:val="646A73"/>
                <w:sz w:val="16"/>
              </w:rPr>
              <w:t>Priority</w:t>
              <w:br/>
            </w:r>
            <w:r>
              <w:rPr>
                <w:sz w:val="18"/>
              </w:rPr>
              <w:t>P0/P1</w:t>
            </w:r>
          </w:p>
        </w:tc>
        <w:tc>
          <w:tcPr>
            <w:tcW w:type="dxa" w:w="2541"/>
            <w:tcMar>
              <w:top w:w="80" w:type="dxa"/>
              <w:start w:w="100" w:type="dxa"/>
              <w:bottom w:w="80" w:type="dxa"/>
              <w:end w:w="100" w:type="dxa"/>
            </w:tcMar>
            <w:shd w:fill="F6F8FA"/>
          </w:tcPr>
          <w:p>
            <w:r>
              <w:rPr>
                <w:b/>
                <w:color w:val="646A73"/>
                <w:sz w:val="16"/>
              </w:rPr>
              <w:t>Type</w:t>
              <w:br/>
            </w:r>
            <w:r>
              <w:rPr>
                <w:sz w:val="18"/>
              </w:rPr>
              <w:t>Activation / provider architecture</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Requiring users to bring their own API key creates too much friction before they experience value. A new user may need to understand providers, create an external account, configure billing, generate a key, trust Keating with that key, and return to the app before their first meaningful session.</w:t>
      </w:r>
    </w:p>
    <w:p>
      <w:pPr>
        <w:pStyle w:val="IssueSection"/>
      </w:pPr>
      <w:r>
        <w:t>Product intuition</w:t>
      </w:r>
    </w:p>
    <w:p>
      <w:r>
        <w:t>The preferred funnel is: visit → signup → first lesson/session → value → usage limit → payment or BYOK. BYOK should remain available for advanced users, but not be required for activation.</w:t>
      </w:r>
    </w:p>
    <w:p>
      <w:pPr>
        <w:pStyle w:val="IssueSection"/>
      </w:pPr>
      <w:r>
        <w:t>Implementation direction</w:t>
      </w:r>
    </w:p>
    <w:p>
      <w:pPr>
        <w:pStyle w:val="ListBullet"/>
      </w:pPr>
      <w:r>
        <w:t>Provide a hosted default provider path so new users can use Keating immediately.</w:t>
      </w:r>
    </w:p>
    <w:p>
      <w:pPr>
        <w:pStyle w:val="ListBullet"/>
      </w:pPr>
      <w:r>
        <w:t>Give new users a finite free allowance/credits sufficient to reach first value.</w:t>
      </w:r>
    </w:p>
    <w:p>
      <w:pPr>
        <w:pStyle w:val="ListBullet"/>
      </w:pPr>
      <w:r>
        <w:t>Keep BYOK as an advanced/power-user option for control, privacy, provider choice, or lower marginal cost.</w:t>
      </w:r>
    </w:p>
    <w:p>
      <w:pPr>
        <w:pStyle w:val="ListBullet"/>
      </w:pPr>
      <w:r>
        <w:t>Harden the provider layer: model/provider selection, fallback behavior, timeout handling, retries where appropriate, clear errors, observability, and cost visibility.</w:t>
      </w:r>
    </w:p>
    <w:p>
      <w:pPr>
        <w:pStyle w:val="ListBullet"/>
      </w:pPr>
      <w:r>
        <w:t>Prevent provider-specific assumptions from leaking throughout the rest of the app.</w:t>
      </w:r>
    </w:p>
    <w:p>
      <w:pPr>
        <w:pStyle w:val="IssueSection"/>
      </w:pPr>
      <w:r>
        <w:t>Acceptance criteria</w:t>
      </w:r>
    </w:p>
    <w:p>
      <w:pPr>
        <w:pStyle w:val="ListBullet"/>
      </w:pPr>
      <w:r>
        <w:t>A new user can complete a meaningful first Keating session without supplying an API key.</w:t>
      </w:r>
    </w:p>
    <w:p>
      <w:pPr>
        <w:pStyle w:val="ListBullet"/>
      </w:pPr>
      <w:r>
        <w:t>Usage limits are clear and transition cleanly to paid usage and/or BYOK.</w:t>
      </w:r>
    </w:p>
    <w:p>
      <w:pPr>
        <w:pStyle w:val="ListBullet"/>
      </w:pPr>
      <w:r>
        <w:t>Provider failures surface intelligible errors and safe fallbacks where configured.</w:t>
      </w:r>
    </w:p>
    <w:p>
      <w:pPr>
        <w:pStyle w:val="ListBullet"/>
      </w:pPr>
      <w:r>
        <w:t>BYOK remains supported without being the default onboarding path.</w:t>
      </w:r>
    </w:p>
    <w:p>
      <w:pPr>
        <w:pStyle w:val="IssueSection"/>
      </w:pPr>
      <w:r>
        <w:t>Metrics / validation</w:t>
      </w:r>
    </w:p>
    <w:p>
      <w:pPr>
        <w:pStyle w:val="ListBullet"/>
      </w:pPr>
      <w:r>
        <w:t>Activation rate from signup to first completed lesson/session.</w:t>
      </w:r>
    </w:p>
    <w:p>
      <w:pPr>
        <w:pStyle w:val="ListBullet"/>
      </w:pPr>
      <w:r>
        <w:t>Drop-off rate at provider/payment/key setup.</w:t>
      </w:r>
    </w:p>
    <w:p>
      <w:pPr>
        <w:pStyle w:val="ListBullet"/>
      </w:pPr>
      <w:r>
        <w:t>Time-to-first-useful-response.</w:t>
      </w:r>
    </w:p>
    <w:p>
      <w:pPr>
        <w:pStyle w:val="ListBullet"/>
      </w:pPr>
      <w:r>
        <w:t>Hosted inference cost per activated user.</w:t>
      </w:r>
    </w:p>
    <w:p>
      <w:pPr>
        <w:pStyle w:val="IssueSection"/>
      </w:pPr>
      <w:r>
        <w:t>Notes</w:t>
      </w:r>
    </w:p>
    <w:p>
      <w:r>
        <w:t>This was identified as one of the biggest current bottlenecks to using the service, so it should rank above lower-impact polish work.</w:t>
      </w:r>
    </w:p>
    <w:p/>
    <w:p>
      <w:r>
        <w:t>——————————————————————————————————————————</w:t>
      </w:r>
    </w:p>
    <w:p/>
    <w:p>
      <w:pPr>
        <w:pStyle w:val="IssueTitle"/>
      </w:pPr>
      <w:r>
        <w:t>06. Redesign session forking and branch lineage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Keating</w:t>
            </w:r>
          </w:p>
        </w:tc>
        <w:tc>
          <w:tcPr>
            <w:tcW w:type="dxa" w:w="2541"/>
            <w:tcMar>
              <w:top w:w="80" w:type="dxa"/>
              <w:start w:w="100" w:type="dxa"/>
              <w:bottom w:w="80" w:type="dxa"/>
              <w:end w:w="100" w:type="dxa"/>
            </w:tcMar>
            <w:shd w:fill="FFF3CD"/>
          </w:tcPr>
          <w:p>
            <w:r>
              <w:rPr>
                <w:b/>
                <w:color w:val="646A73"/>
                <w:sz w:val="16"/>
              </w:rPr>
              <w:t>Priority</w:t>
              <w:br/>
            </w:r>
            <w:r>
              <w:rPr>
                <w:sz w:val="18"/>
              </w:rPr>
              <w:t>P1</w:t>
            </w:r>
          </w:p>
        </w:tc>
        <w:tc>
          <w:tcPr>
            <w:tcW w:type="dxa" w:w="2541"/>
            <w:tcMar>
              <w:top w:w="80" w:type="dxa"/>
              <w:start w:w="100" w:type="dxa"/>
              <w:bottom w:w="80" w:type="dxa"/>
              <w:end w:w="100" w:type="dxa"/>
            </w:tcMar>
            <w:shd w:fill="F6F8FA"/>
          </w:tcPr>
          <w:p>
            <w:r>
              <w:rPr>
                <w:b/>
                <w:color w:val="646A73"/>
                <w:sz w:val="16"/>
              </w:rPr>
              <w:t>Type</w:t>
              <w:br/>
            </w:r>
            <w:r>
              <w:rPr>
                <w:sz w:val="18"/>
              </w:rPr>
              <w:t>Core UX redesign</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Keating session forking needs a better interaction model. There is an existing Claude session whose behavior can serve as a concrete reference for the desired experience.</w:t>
      </w:r>
    </w:p>
    <w:p>
      <w:pPr>
        <w:pStyle w:val="IssueSection"/>
      </w:pPr>
      <w:r>
        <w:t>Product intuition</w:t>
      </w:r>
    </w:p>
    <w:p>
      <w:r>
        <w:t>Forking should feel like exploring an alternative line of thought, not like forcing a normal user to understand Git history. Parent/child relationships must be legible without making the interface feel technical or cluttered.</w:t>
      </w:r>
    </w:p>
    <w:p>
      <w:pPr>
        <w:pStyle w:val="IssueSection"/>
      </w:pPr>
      <w:r>
        <w:t>Implementation direction</w:t>
      </w:r>
    </w:p>
    <w:p>
      <w:pPr>
        <w:pStyle w:val="ListBullet"/>
      </w:pPr>
      <w:r>
        <w:t>Study the reference Claude session and extract the strongest interaction patterns rather than redesigning from scratch.</w:t>
      </w:r>
    </w:p>
    <w:p>
      <w:pPr>
        <w:pStyle w:val="ListBullet"/>
      </w:pPr>
      <w:r>
        <w:t>Define precisely what a fork inherits: conversation context, lesson state, artifacts, learner state, provider settings, etc.</w:t>
      </w:r>
    </w:p>
    <w:p>
      <w:pPr>
        <w:pStyle w:val="ListBullet"/>
      </w:pPr>
      <w:r>
        <w:t>Make the parent/child lineage visible and navigable.</w:t>
      </w:r>
    </w:p>
    <w:p>
      <w:pPr>
        <w:pStyle w:val="ListBullet"/>
      </w:pPr>
      <w:r>
        <w:t>Allow users to understand which branch they are currently in and move back to the parent without losing work.</w:t>
      </w:r>
    </w:p>
    <w:p>
      <w:pPr>
        <w:pStyle w:val="ListBullet"/>
      </w:pPr>
      <w:r>
        <w:t>Avoid array-position or transient UI state as the identity of a branch; use stable session/fork IDs.</w:t>
      </w:r>
    </w:p>
    <w:p>
      <w:pPr>
        <w:pStyle w:val="ListBullet"/>
      </w:pPr>
      <w:r>
        <w:t>Consider side-by-side or branch-comparison affordances later, but prioritize basic lineage clarity first.</w:t>
      </w:r>
    </w:p>
    <w:p>
      <w:pPr>
        <w:pStyle w:val="IssueSection"/>
      </w:pPr>
      <w:r>
        <w:t>Acceptance criteria</w:t>
      </w:r>
    </w:p>
    <w:p>
      <w:pPr>
        <w:pStyle w:val="ListBullet"/>
      </w:pPr>
      <w:r>
        <w:t>Creating a fork produces an independent branch with clearly defined inherited state.</w:t>
      </w:r>
    </w:p>
    <w:p>
      <w:pPr>
        <w:pStyle w:val="ListBullet"/>
      </w:pPr>
      <w:r>
        <w:t>The UI identifies the current branch and its parent.</w:t>
      </w:r>
    </w:p>
    <w:p>
      <w:pPr>
        <w:pStyle w:val="ListBullet"/>
      </w:pPr>
      <w:r>
        <w:t>Users can navigate among branches without accidental state leakage or overwriting.</w:t>
      </w:r>
    </w:p>
    <w:p>
      <w:pPr>
        <w:pStyle w:val="ListBullet"/>
      </w:pPr>
      <w:r>
        <w:t>Branch history remains understandable with more than two forks.</w:t>
      </w:r>
    </w:p>
    <w:p>
      <w:pPr>
        <w:pStyle w:val="IssueSection"/>
      </w:pPr>
      <w:r>
        <w:t>Regression / test cases</w:t>
      </w:r>
    </w:p>
    <w:p>
      <w:pPr>
        <w:pStyle w:val="ListBullet"/>
      </w:pPr>
      <w:r>
        <w:t>Fork A from parent; mutate A; verify parent is unchanged.</w:t>
      </w:r>
    </w:p>
    <w:p>
      <w:pPr>
        <w:pStyle w:val="ListBullet"/>
      </w:pPr>
      <w:r>
        <w:t>Fork B from same parent; verify A/B isolation.</w:t>
      </w:r>
    </w:p>
    <w:p>
      <w:pPr>
        <w:pStyle w:val="ListBullet"/>
      </w:pPr>
      <w:r>
        <w:t>Navigate parent → A → parent → B and verify state restoration.</w:t>
      </w:r>
    </w:p>
    <w:p/>
    <w:p>
      <w:r>
        <w:t>——————————————————————————————————————————</w:t>
      </w:r>
    </w:p>
    <w:p/>
    <w:p>
      <w:r>
        <w:br w:type="page"/>
      </w:r>
    </w:p>
    <w:p>
      <w:pPr>
        <w:pStyle w:val="Heading1"/>
      </w:pPr>
      <w:r>
        <w:t>Twyne issues</w:t>
      </w:r>
      <w:r>
        <w:rPr>
          <w:i/>
        </w:rPr>
        <w:t xml:space="preserve"> — editor UX, voice, state scoping, and interaction bugs</w:t>
      </w:r>
    </w:p>
    <w:p>
      <w:pPr>
        <w:pStyle w:val="IssueTitle"/>
      </w:pPr>
      <w:r>
        <w:t>07. Give comment editing enough viewport and scrolling space</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Twyne</w:t>
            </w:r>
          </w:p>
        </w:tc>
        <w:tc>
          <w:tcPr>
            <w:tcW w:type="dxa" w:w="2541"/>
            <w:tcMar>
              <w:top w:w="80" w:type="dxa"/>
              <w:start w:w="100" w:type="dxa"/>
              <w:bottom w:w="80" w:type="dxa"/>
              <w:end w:w="100" w:type="dxa"/>
            </w:tcMar>
            <w:shd w:fill="FFF3CD"/>
          </w:tcPr>
          <w:p>
            <w:r>
              <w:rPr>
                <w:b/>
                <w:color w:val="646A73"/>
                <w:sz w:val="16"/>
              </w:rPr>
              <w:t>Priority</w:t>
              <w:br/>
            </w:r>
            <w:r>
              <w:rPr>
                <w:sz w:val="18"/>
              </w:rPr>
              <w:t>P1</w:t>
            </w:r>
          </w:p>
        </w:tc>
        <w:tc>
          <w:tcPr>
            <w:tcW w:type="dxa" w:w="2541"/>
            <w:tcMar>
              <w:top w:w="80" w:type="dxa"/>
              <w:start w:w="100" w:type="dxa"/>
              <w:bottom w:w="80" w:type="dxa"/>
              <w:end w:w="100" w:type="dxa"/>
            </w:tcMar>
            <w:shd w:fill="F6F8FA"/>
          </w:tcPr>
          <w:p>
            <w:r>
              <w:rPr>
                <w:b/>
                <w:color w:val="646A73"/>
                <w:sz w:val="16"/>
              </w:rPr>
              <w:t>Type</w:t>
              <w:br/>
            </w:r>
            <w:r>
              <w:rPr>
                <w:sz w:val="18"/>
              </w:rPr>
              <w:t>Editor UX bug</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When editing comments in Twyne, there is not enough usable space to scroll and inspect the full comment. Long comments become difficult to read and edit, which functionally breaks the comment-editing flow.</w:t>
      </w:r>
    </w:p>
    <w:p>
      <w:pPr>
        <w:pStyle w:val="IssueSection"/>
      </w:pPr>
      <w:r>
        <w:t>Implementation direction</w:t>
      </w:r>
    </w:p>
    <w:p>
      <w:pPr>
        <w:pStyle w:val="ListBullet"/>
      </w:pPr>
      <w:r>
        <w:t>Let short comments remain compact.</w:t>
      </w:r>
    </w:p>
    <w:p>
      <w:pPr>
        <w:pStyle w:val="ListBullet"/>
      </w:pPr>
      <w:r>
        <w:t>Allow the editor to grow to a sensible threshold, then become independently scrollable.</w:t>
      </w:r>
    </w:p>
    <w:p>
      <w:pPr>
        <w:pStyle w:val="ListBullet"/>
      </w:pPr>
      <w:r>
        <w:t>Preserve enough surrounding document context so users can still understand what passage the comment refers to.</w:t>
      </w:r>
    </w:p>
    <w:p>
      <w:pPr>
        <w:pStyle w:val="ListBullet"/>
      </w:pPr>
      <w:r>
        <w:t>Ensure fixed buttons/toolbars do not cover the textarea.</w:t>
      </w:r>
    </w:p>
    <w:p>
      <w:pPr>
        <w:pStyle w:val="ListBullet"/>
      </w:pPr>
      <w:r>
        <w:t>Preserve the user’s scroll position when entering/exiting edit mode when practical.</w:t>
      </w:r>
    </w:p>
    <w:p>
      <w:pPr>
        <w:pStyle w:val="IssueSection"/>
      </w:pPr>
      <w:r>
        <w:t>Acceptance criteria</w:t>
      </w:r>
    </w:p>
    <w:p>
      <w:pPr>
        <w:pStyle w:val="ListBullet"/>
      </w:pPr>
      <w:r>
        <w:t>Long comments can be read and edited without fighting a tiny viewport.</w:t>
      </w:r>
    </w:p>
    <w:p>
      <w:pPr>
        <w:pStyle w:val="ListBullet"/>
      </w:pPr>
      <w:r>
        <w:t>Editor controls remain visible and do not cover text.</w:t>
      </w:r>
    </w:p>
    <w:p>
      <w:pPr>
        <w:pStyle w:val="ListBullet"/>
      </w:pPr>
      <w:r>
        <w:t>Behavior works on narrow/mobile layouts and with the on-screen keyboard.</w:t>
      </w:r>
    </w:p>
    <w:p>
      <w:pPr>
        <w:pStyle w:val="ListBullet"/>
      </w:pPr>
      <w:r>
        <w:t>Keyboard navigation and focus remain correct.</w:t>
      </w:r>
    </w:p>
    <w:p>
      <w:pPr>
        <w:pStyle w:val="IssueSection"/>
      </w:pPr>
      <w:r>
        <w:t>Regression / test cases</w:t>
      </w:r>
    </w:p>
    <w:p>
      <w:pPr>
        <w:pStyle w:val="ListBullet"/>
      </w:pPr>
      <w:r>
        <w:t>Very short comment.</w:t>
      </w:r>
    </w:p>
    <w:p>
      <w:pPr>
        <w:pStyle w:val="ListBullet"/>
      </w:pPr>
      <w:r>
        <w:t>Multi-paragraph long comment.</w:t>
      </w:r>
    </w:p>
    <w:p>
      <w:pPr>
        <w:pStyle w:val="ListBullet"/>
      </w:pPr>
      <w:r>
        <w:t>Narrow viewport/mobile keyboard.</w:t>
      </w:r>
    </w:p>
    <w:p>
      <w:pPr>
        <w:pStyle w:val="ListBullet"/>
      </w:pPr>
      <w:r>
        <w:t>Enter edit mode while comment is partially scrolled, then exit and return.</w:t>
      </w:r>
    </w:p>
    <w:p/>
    <w:p>
      <w:r>
        <w:t>——————————————————————————————————————————</w:t>
      </w:r>
    </w:p>
    <w:p/>
    <w:p>
      <w:pPr>
        <w:pStyle w:val="IssueTitle"/>
      </w:pPr>
      <w:r>
        <w:t>08. Clean up and standardize Twyne icons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Twyne</w:t>
            </w:r>
          </w:p>
        </w:tc>
        <w:tc>
          <w:tcPr>
            <w:tcW w:type="dxa" w:w="2541"/>
            <w:tcMar>
              <w:top w:w="80" w:type="dxa"/>
              <w:start w:w="100" w:type="dxa"/>
              <w:bottom w:w="80" w:type="dxa"/>
              <w:end w:w="100" w:type="dxa"/>
            </w:tcMar>
            <w:shd w:fill="F6F8FA"/>
          </w:tcPr>
          <w:p>
            <w:r>
              <w:rPr>
                <w:b/>
                <w:color w:val="646A73"/>
                <w:sz w:val="16"/>
              </w:rPr>
              <w:t>Priority</w:t>
              <w:br/>
            </w:r>
            <w:r>
              <w:rPr>
                <w:sz w:val="18"/>
              </w:rPr>
              <w:t>P2</w:t>
            </w:r>
          </w:p>
        </w:tc>
        <w:tc>
          <w:tcPr>
            <w:tcW w:type="dxa" w:w="2541"/>
            <w:tcMar>
              <w:top w:w="80" w:type="dxa"/>
              <w:start w:w="100" w:type="dxa"/>
              <w:bottom w:w="80" w:type="dxa"/>
              <w:end w:w="100" w:type="dxa"/>
            </w:tcMar>
            <w:shd w:fill="F6F8FA"/>
          </w:tcPr>
          <w:p>
            <w:r>
              <w:rPr>
                <w:b/>
                <w:color w:val="646A73"/>
                <w:sz w:val="16"/>
              </w:rPr>
              <w:t>Type</w:t>
              <w:br/>
            </w:r>
            <w:r>
              <w:rPr>
                <w:sz w:val="18"/>
              </w:rPr>
              <w:t>Visual consistency</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Twyne still needs a dedicated icon cleanup/consistency pass. Inconsistent icon sizing, style, alignment, or semantics makes the interface feel less intentional and can obscure actions.</w:t>
      </w:r>
    </w:p>
    <w:p>
      <w:pPr>
        <w:pStyle w:val="IssueSection"/>
      </w:pPr>
      <w:r>
        <w:t>Implementation direction</w:t>
      </w:r>
    </w:p>
    <w:p>
      <w:pPr>
        <w:pStyle w:val="ListBullet"/>
      </w:pPr>
      <w:r>
        <w:t>Inventory icons across the editor, comments, Galley, conversation surfaces, table controls, and slash-command menu.</w:t>
      </w:r>
    </w:p>
    <w:p>
      <w:pPr>
        <w:pStyle w:val="ListBullet"/>
      </w:pPr>
      <w:r>
        <w:t>Standardize stroke weight, optical size, button padding, baseline alignment, hover/focus states, and accessible labels/tooltips.</w:t>
      </w:r>
    </w:p>
    <w:p>
      <w:pPr>
        <w:pStyle w:val="ListBullet"/>
      </w:pPr>
      <w:r>
        <w:t>Replace ambiguous icons where text or a more legible symbol is needed.</w:t>
      </w:r>
    </w:p>
    <w:p>
      <w:pPr>
        <w:pStyle w:val="ListBullet"/>
      </w:pPr>
      <w:r>
        <w:t>Do this after higher-priority blocking UX issues such as voice latency, comment scrolling, and conversation composer visibility.</w:t>
      </w:r>
    </w:p>
    <w:p>
      <w:pPr>
        <w:pStyle w:val="IssueSection"/>
      </w:pPr>
      <w:r>
        <w:t>Acceptance criteria</w:t>
      </w:r>
    </w:p>
    <w:p>
      <w:pPr>
        <w:pStyle w:val="ListBullet"/>
      </w:pPr>
      <w:r>
        <w:t>Icons use a consistent visual system and button geometry.</w:t>
      </w:r>
    </w:p>
    <w:p>
      <w:pPr>
        <w:pStyle w:val="ListBullet"/>
      </w:pPr>
      <w:r>
        <w:t>No action is represented by an ambiguous or clipped icon.</w:t>
      </w:r>
    </w:p>
    <w:p>
      <w:pPr>
        <w:pStyle w:val="ListBullet"/>
      </w:pPr>
      <w:r>
        <w:t>Keyboard focus and tooltips/accessibility labels are present where needed.</w:t>
      </w:r>
    </w:p>
    <w:p/>
    <w:p>
      <w:r>
        <w:t>——————————————————————————————————————————</w:t>
      </w:r>
    </w:p>
    <w:p/>
    <w:p>
      <w:pPr>
        <w:pStyle w:val="IssueTitle"/>
      </w:pPr>
      <w:r>
        <w:t>09. Stream TTS to reduce time-to-first-audio</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Twyne</w:t>
            </w:r>
          </w:p>
        </w:tc>
        <w:tc>
          <w:tcPr>
            <w:tcW w:type="dxa" w:w="2541"/>
            <w:tcMar>
              <w:top w:w="80" w:type="dxa"/>
              <w:start w:w="100" w:type="dxa"/>
              <w:bottom w:w="80" w:type="dxa"/>
              <w:end w:w="100" w:type="dxa"/>
            </w:tcMar>
            <w:shd w:fill="FDE7E9"/>
          </w:tcPr>
          <w:p>
            <w:r>
              <w:rPr>
                <w:b/>
                <w:color w:val="646A73"/>
                <w:sz w:val="16"/>
              </w:rPr>
              <w:t>Priority</w:t>
              <w:br/>
            </w:r>
            <w:r>
              <w:rPr>
                <w:sz w:val="18"/>
              </w:rPr>
              <w:t>P0/P1</w:t>
            </w:r>
          </w:p>
        </w:tc>
        <w:tc>
          <w:tcPr>
            <w:tcW w:type="dxa" w:w="2541"/>
            <w:tcMar>
              <w:top w:w="80" w:type="dxa"/>
              <w:start w:w="100" w:type="dxa"/>
              <w:bottom w:w="80" w:type="dxa"/>
              <w:end w:w="100" w:type="dxa"/>
            </w:tcMar>
            <w:shd w:fill="F6F8FA"/>
          </w:tcPr>
          <w:p>
            <w:r>
              <w:rPr>
                <w:b/>
                <w:color w:val="646A73"/>
                <w:sz w:val="16"/>
              </w:rPr>
              <w:t>Type</w:t>
              <w:br/>
            </w:r>
            <w:r>
              <w:rPr>
                <w:sz w:val="18"/>
              </w:rPr>
              <w:t>Performance / TTS architecture</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The current voice feature takes too long to start because it attempts to generate too much or all of the passage before playback. The startup delay is severe enough that the feature feels bad even when generation eventually succeeds.</w:t>
      </w:r>
    </w:p>
    <w:p>
      <w:pPr>
        <w:pStyle w:val="IssueSection"/>
      </w:pPr>
      <w:r>
        <w:t>Product intuition</w:t>
      </w:r>
    </w:p>
    <w:p>
      <w:r>
        <w:t>Optimize time-to-first-audio rather than total document-generation time. Once playback starts, generation can continue ahead of the listener.</w:t>
      </w:r>
    </w:p>
    <w:p>
      <w:pPr>
        <w:pStyle w:val="IssueSection"/>
      </w:pPr>
      <w:r>
        <w:t>Implementation direction</w:t>
      </w:r>
    </w:p>
    <w:p>
      <w:pPr>
        <w:pStyle w:val="ListBullet"/>
      </w:pPr>
      <w:r>
        <w:t>Prefer true streaming TTS when the provider supports it.</w:t>
      </w:r>
    </w:p>
    <w:p>
      <w:pPr>
        <w:pStyle w:val="ListBullet"/>
      </w:pPr>
      <w:r>
        <w:t>Keep semantic chunking as a fallback/control layer: roughly 20–30 seconds of expected speech, split at sentence/paragraph boundaries rather than arbitrary characters.</w:t>
      </w:r>
    </w:p>
    <w:p>
      <w:pPr>
        <w:pStyle w:val="ListBullet"/>
      </w:pPr>
      <w:r>
        <w:t>Start playback as soon as the initial stream buffer or first chunk is ready.</w:t>
      </w:r>
    </w:p>
    <w:p>
      <w:pPr>
        <w:pStyle w:val="ListBullet"/>
      </w:pPr>
      <w:r>
        <w:t>Generate later chunks concurrently and enqueue them so playback remains continuous.</w:t>
      </w:r>
    </w:p>
    <w:p>
      <w:pPr>
        <w:pStyle w:val="ListBullet"/>
      </w:pPr>
      <w:r>
        <w:t>Cache chunks using a content-addressed key such as hash(text + voice + model + speech settings).</w:t>
      </w:r>
    </w:p>
    <w:p>
      <w:pPr>
        <w:pStyle w:val="ListBullet"/>
      </w:pPr>
      <w:r>
        <w:t>Allow a later failed chunk to retry without invalidating already generated/played audio.</w:t>
      </w:r>
    </w:p>
    <w:p>
      <w:pPr>
        <w:pStyle w:val="ListBullet"/>
      </w:pPr>
      <w:r>
        <w:t>Consider PCM/WAV streaming for easier playback buffering/timing if benchmarks support it; do not assume compressed MP3 is best.</w:t>
      </w:r>
    </w:p>
    <w:p>
      <w:pPr>
        <w:pStyle w:val="IssueSection"/>
      </w:pPr>
      <w:r>
        <w:t>Acceptance criteria</w:t>
      </w:r>
    </w:p>
    <w:p>
      <w:pPr>
        <w:pStyle w:val="ListBullet"/>
      </w:pPr>
      <w:r>
        <w:t>Playback begins after the first stream/chunk instead of waiting for the whole document.</w:t>
      </w:r>
    </w:p>
    <w:p>
      <w:pPr>
        <w:pStyle w:val="ListBullet"/>
      </w:pPr>
      <w:r>
        <w:t>Long documents do not have startup latency proportional to document length.</w:t>
      </w:r>
    </w:p>
    <w:p>
      <w:pPr>
        <w:pStyle w:val="ListBullet"/>
      </w:pPr>
      <w:r>
        <w:t>Playback does not visibly pause at ordinary chunk boundaries.</w:t>
      </w:r>
    </w:p>
    <w:p>
      <w:pPr>
        <w:pStyle w:val="ListBullet"/>
      </w:pPr>
      <w:r>
        <w:t>Generation stays ahead of playback under normal conditions.</w:t>
      </w:r>
    </w:p>
    <w:p>
      <w:pPr>
        <w:pStyle w:val="ListBullet"/>
      </w:pPr>
      <w:r>
        <w:t>Seek/replay uses cached audio where possible.</w:t>
      </w:r>
    </w:p>
    <w:p>
      <w:pPr>
        <w:pStyle w:val="IssueSection"/>
      </w:pPr>
      <w:r>
        <w:t>Metrics / validation</w:t>
      </w:r>
    </w:p>
    <w:p>
      <w:pPr>
        <w:pStyle w:val="ListBullet"/>
      </w:pPr>
      <w:r>
        <w:t>Primary: time_to_first_audio.</w:t>
      </w:r>
    </w:p>
    <w:p>
      <w:pPr>
        <w:pStyle w:val="ListBullet"/>
      </w:pPr>
      <w:r>
        <w:t>Buffer underrun frequency.</w:t>
      </w:r>
    </w:p>
    <w:p>
      <w:pPr>
        <w:pStyle w:val="ListBullet"/>
      </w:pPr>
      <w:r>
        <w:t>Average generation-ahead margin in seconds.</w:t>
      </w:r>
    </w:p>
    <w:p>
      <w:pPr>
        <w:pStyle w:val="ListBullet"/>
      </w:pPr>
      <w:r>
        <w:t>Cache hit rate and TTS cost per unique generated minute.</w:t>
      </w:r>
    </w:p>
    <w:p>
      <w:pPr>
        <w:pStyle w:val="IssueSection"/>
      </w:pPr>
      <w:r>
        <w:t>Reference docs</w:t>
      </w:r>
    </w:p>
    <w:p>
      <w:hyperlink r:id="rId9">
        <w:r>
          <w:rPr>
            <w:color w:val="2F6FEB"/>
            <w:u w:val="single"/>
          </w:rPr>
          <w:t>OpenAI text-to-speech guide</w:t>
        </w:r>
      </w:hyperlink>
    </w:p>
    <w:p>
      <w:hyperlink r:id="rId10">
        <w:r>
          <w:rPr>
            <w:color w:val="2F6FEB"/>
            <w:u w:val="single"/>
          </w:rPr>
          <w:t>OpenAI create speech API reference</w:t>
        </w:r>
      </w:hyperlink>
    </w:p>
    <w:p/>
    <w:p>
      <w:r>
        <w:t>——————————————————————————————————————————</w:t>
      </w:r>
    </w:p>
    <w:p/>
    <w:p>
      <w:pPr>
        <w:pStyle w:val="IssueTitle"/>
      </w:pPr>
      <w:r>
        <w:t>10. Fix voice/text highlighting drift with real alignment metadata</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Twyne</w:t>
            </w:r>
          </w:p>
        </w:tc>
        <w:tc>
          <w:tcPr>
            <w:tcW w:type="dxa" w:w="2541"/>
            <w:tcMar>
              <w:top w:w="80" w:type="dxa"/>
              <w:start w:w="100" w:type="dxa"/>
              <w:bottom w:w="80" w:type="dxa"/>
              <w:end w:w="100" w:type="dxa"/>
            </w:tcMar>
            <w:shd w:fill="FDE7E9"/>
          </w:tcPr>
          <w:p>
            <w:r>
              <w:rPr>
                <w:b/>
                <w:color w:val="646A73"/>
                <w:sz w:val="16"/>
              </w:rPr>
              <w:t>Priority</w:t>
              <w:br/>
            </w:r>
            <w:r>
              <w:rPr>
                <w:sz w:val="18"/>
              </w:rPr>
              <w:t>P0/P1</w:t>
            </w:r>
          </w:p>
        </w:tc>
        <w:tc>
          <w:tcPr>
            <w:tcW w:type="dxa" w:w="2541"/>
            <w:tcMar>
              <w:top w:w="80" w:type="dxa"/>
              <w:start w:w="100" w:type="dxa"/>
              <w:bottom w:w="80" w:type="dxa"/>
              <w:end w:w="100" w:type="dxa"/>
            </w:tcMar>
            <w:shd w:fill="F6F8FA"/>
          </w:tcPr>
          <w:p>
            <w:r>
              <w:rPr>
                <w:b/>
                <w:color w:val="646A73"/>
                <w:sz w:val="16"/>
              </w:rPr>
              <w:t>Type</w:t>
              <w:br/>
            </w:r>
            <w:r>
              <w:rPr>
                <w:sz w:val="18"/>
              </w:rPr>
              <w:t>Synchronization / TTS UX</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The spoken audio and highlighted text are significantly out of sync. Estimating alignment from wall-clock/request timing is not reliable enough; visible drift makes the feature feel broken.</w:t>
      </w:r>
    </w:p>
    <w:p>
      <w:pPr>
        <w:pStyle w:val="IssueSection"/>
      </w:pPr>
      <w:r>
        <w:t>Product intuition</w:t>
      </w:r>
    </w:p>
    <w:p>
      <w:r>
        <w:t>Highlighting should be driven by the audio player's playback clock and provider/aligner timestamps, not by generation timing. If exact word alignment is unavailable, sentence/chunk-level highlighting is preferable to confidently wrong word-level highlighting.</w:t>
      </w:r>
    </w:p>
    <w:p>
      <w:pPr>
        <w:pStyle w:val="IssueSection"/>
      </w:pPr>
      <w:r>
        <w:t>Implementation direction</w:t>
      </w:r>
    </w:p>
    <w:p>
      <w:pPr>
        <w:pStyle w:val="ListBullet"/>
      </w:pPr>
      <w:r>
        <w:t>Introduce a provider-independent alignment structure such as {textStart, textEnd, audioStart, audioEnd}.</w:t>
      </w:r>
    </w:p>
    <w:p>
      <w:pPr>
        <w:pStyle w:val="ListBullet"/>
      </w:pPr>
      <w:r>
        <w:t>When a TTS provider exposes native timestamps, consume those directly and map them onto stable text ranges.</w:t>
      </w:r>
    </w:p>
    <w:p>
      <w:pPr>
        <w:pStyle w:val="ListBullet"/>
      </w:pPr>
      <w:r>
        <w:t>Drive highlighting from `audio.currentTime` (or equivalent AudioContext clock).</w:t>
      </w:r>
    </w:p>
    <w:p>
      <w:pPr>
        <w:pStyle w:val="ListBullet"/>
      </w:pPr>
      <w:r>
        <w:t>At chunk boundaries, use offsets to construct a single absolute timeline and resynchronize to prevent cumulative drift.</w:t>
      </w:r>
    </w:p>
    <w:p>
      <w:pPr>
        <w:pStyle w:val="ListBullet"/>
      </w:pPr>
      <w:r>
        <w:t>For providers without native timestamps, support a forced-alignment fallback on generated audio + known source text.</w:t>
      </w:r>
    </w:p>
    <w:p>
      <w:pPr>
        <w:pStyle w:val="ListBullet"/>
      </w:pPr>
      <w:r>
        <w:t>Potential native-alignment providers discussed: ElevenLabs, Cartesia, Fish Audio.</w:t>
      </w:r>
    </w:p>
    <w:p>
      <w:pPr>
        <w:pStyle w:val="ListBullet"/>
      </w:pPr>
      <w:r>
        <w:t>OpenAI `gpt-4o-mini-tts` currently supports streaming but does not document native word/character alignment from the speech endpoint.</w:t>
      </w:r>
    </w:p>
    <w:p>
      <w:pPr>
        <w:pStyle w:val="ListBullet"/>
      </w:pPr>
      <w:r>
        <w:t>Open-source fallback candidates: WhisperX, Montreal Forced Aligner (CPU/server), and browser ONNX CTC alignment using Wav2Vec2-style emissions.</w:t>
      </w:r>
    </w:p>
    <w:p>
      <w:pPr>
        <w:pStyle w:val="ListBullet"/>
      </w:pPr>
      <w:r>
        <w:t>For browser alignment, prototype a quantized Wav2Vec2 CTC ONNX model in a Web Worker with WebGPU where available and WASM fallback.</w:t>
      </w:r>
    </w:p>
    <w:p>
      <w:pPr>
        <w:pStyle w:val="IssueSection"/>
      </w:pPr>
      <w:r>
        <w:t>Acceptance criteria</w:t>
      </w:r>
    </w:p>
    <w:p>
      <w:pPr>
        <w:pStyle w:val="ListBullet"/>
      </w:pPr>
      <w:r>
        <w:t>Highlighted text follows spoken audio closely enough to feel synchronized.</w:t>
      </w:r>
    </w:p>
    <w:p>
      <w:pPr>
        <w:pStyle w:val="ListBullet"/>
      </w:pPr>
      <w:r>
        <w:t>Seeking audio updates the highlight immediately and correctly.</w:t>
      </w:r>
    </w:p>
    <w:p>
      <w:pPr>
        <w:pStyle w:val="ListBullet"/>
      </w:pPr>
      <w:r>
        <w:t>Chunk transitions do not accumulate timing error.</w:t>
      </w:r>
    </w:p>
    <w:p>
      <w:pPr>
        <w:pStyle w:val="ListBullet"/>
      </w:pPr>
      <w:r>
        <w:t>Provider-specific alignment payloads are normalized behind one internal interface.</w:t>
      </w:r>
    </w:p>
    <w:p>
      <w:pPr>
        <w:pStyle w:val="ListBullet"/>
      </w:pPr>
      <w:r>
        <w:t>If no exact alignment exists, UI intentionally falls back to sentence/chunk highlighting rather than inaccurate word highlighting.</w:t>
      </w:r>
    </w:p>
    <w:p>
      <w:pPr>
        <w:pStyle w:val="IssueSection"/>
      </w:pPr>
      <w:r>
        <w:t>Regression / test cases</w:t>
      </w:r>
    </w:p>
    <w:p>
      <w:pPr>
        <w:pStyle w:val="ListBullet"/>
      </w:pPr>
      <w:r>
        <w:t>Short sentence with punctuation.</w:t>
      </w:r>
    </w:p>
    <w:p>
      <w:pPr>
        <w:pStyle w:val="ListBullet"/>
      </w:pPr>
      <w:r>
        <w:t>Long paragraph with pauses.</w:t>
      </w:r>
    </w:p>
    <w:p>
      <w:pPr>
        <w:pStyle w:val="ListBullet"/>
      </w:pPr>
      <w:r>
        <w:t>Seek forward/backward repeatedly.</w:t>
      </w:r>
    </w:p>
    <w:p>
      <w:pPr>
        <w:pStyle w:val="ListBullet"/>
      </w:pPr>
      <w:r>
        <w:t>Multiple generated chunks with offsets.</w:t>
      </w:r>
    </w:p>
    <w:p>
      <w:pPr>
        <w:pStyle w:val="ListBullet"/>
      </w:pPr>
      <w:r>
        <w:t>Provider-native alignment vs local forced alignment on the same text/audio.</w:t>
      </w:r>
    </w:p>
    <w:p>
      <w:pPr>
        <w:pStyle w:val="IssueSection"/>
      </w:pPr>
      <w:r>
        <w:t>Metrics / validation</w:t>
      </w:r>
    </w:p>
    <w:p>
      <w:pPr>
        <w:pStyle w:val="ListBullet"/>
      </w:pPr>
      <w:r>
        <w:t>Word/segment boundary error against a reference alignment sample.</w:t>
      </w:r>
    </w:p>
    <w:p>
      <w:pPr>
        <w:pStyle w:val="ListBullet"/>
      </w:pPr>
      <w:r>
        <w:t>User-perceived sync quality.</w:t>
      </w:r>
    </w:p>
    <w:p>
      <w:pPr>
        <w:pStyle w:val="ListBullet"/>
      </w:pPr>
      <w:r>
        <w:t>Alignment processing latency relative to playback progress.</w:t>
      </w:r>
    </w:p>
    <w:p>
      <w:pPr>
        <w:pStyle w:val="IssueSection"/>
      </w:pPr>
      <w:r>
        <w:t>Reference docs</w:t>
      </w:r>
    </w:p>
    <w:p>
      <w:hyperlink r:id="rId11">
        <w:r>
          <w:rPr>
            <w:color w:val="2F6FEB"/>
            <w:u w:val="single"/>
          </w:rPr>
          <w:t>ElevenLabs TTS with timestamps</w:t>
        </w:r>
      </w:hyperlink>
    </w:p>
    <w:p>
      <w:hyperlink r:id="rId12">
        <w:r>
          <w:rPr>
            <w:color w:val="2F6FEB"/>
            <w:u w:val="single"/>
          </w:rPr>
          <w:t>ElevenLabs realtime WebSocket TTS</w:t>
        </w:r>
      </w:hyperlink>
    </w:p>
    <w:p>
      <w:hyperlink r:id="rId13">
        <w:r>
          <w:rPr>
            <w:color w:val="2F6FEB"/>
            <w:u w:val="single"/>
          </w:rPr>
          <w:t>ElevenLabs forced alignment overview</w:t>
        </w:r>
      </w:hyperlink>
    </w:p>
    <w:p>
      <w:hyperlink r:id="rId14">
        <w:r>
          <w:rPr>
            <w:color w:val="2F6FEB"/>
            <w:u w:val="single"/>
          </w:rPr>
          <w:t>Cartesia TTS endpoint comparison</w:t>
        </w:r>
      </w:hyperlink>
    </w:p>
    <w:p>
      <w:hyperlink r:id="rId15">
        <w:r>
          <w:rPr>
            <w:color w:val="2F6FEB"/>
            <w:u w:val="single"/>
          </w:rPr>
          <w:t>Fish Audio streaming TTS with timestamps</w:t>
        </w:r>
      </w:hyperlink>
    </w:p>
    <w:p>
      <w:hyperlink r:id="rId16">
        <w:r>
          <w:rPr>
            <w:color w:val="2F6FEB"/>
            <w:u w:val="single"/>
          </w:rPr>
          <w:t>Fish Audio live WebSocket TTS</w:t>
        </w:r>
      </w:hyperlink>
    </w:p>
    <w:p>
      <w:hyperlink r:id="rId17">
        <w:r>
          <w:rPr>
            <w:color w:val="2F6FEB"/>
            <w:u w:val="single"/>
          </w:rPr>
          <w:t>Montreal Forced Aligner</w:t>
        </w:r>
      </w:hyperlink>
    </w:p>
    <w:p>
      <w:hyperlink r:id="rId18">
        <w:r>
          <w:rPr>
            <w:color w:val="2F6FEB"/>
            <w:u w:val="single"/>
          </w:rPr>
          <w:t>WhisperX paper</w:t>
        </w:r>
      </w:hyperlink>
    </w:p>
    <w:p>
      <w:hyperlink r:id="rId19">
        <w:r>
          <w:rPr>
            <w:color w:val="2F6FEB"/>
            <w:u w:val="single"/>
          </w:rPr>
          <w:t>Wav2Vec2 Base 960h ONNX</w:t>
        </w:r>
      </w:hyperlink>
    </w:p>
    <w:p>
      <w:pPr>
        <w:pStyle w:val="IssueSection"/>
      </w:pPr>
      <w:r>
        <w:t>Notes</w:t>
      </w:r>
    </w:p>
    <w:p>
      <w:r>
        <w:t>MFA can run on CPU and is better suited to a server/service than directly in the browser because it relies on Python/native Kaldi tooling. Browser-native alignment is more naturally implemented with ONNX/Transformers.js CTC models. Synthetic TTS is a relatively clean forced-alignment workload because the exact transcript is known and there is usually no background noise.</w:t>
      </w:r>
    </w:p>
    <w:p/>
    <w:p>
      <w:r>
        <w:t>——————————————————————————————————————————</w:t>
      </w:r>
    </w:p>
    <w:p/>
    <w:p>
      <w:pPr>
        <w:pStyle w:val="IssueTitle"/>
      </w:pPr>
      <w:r>
        <w:t>11. Redesign the table maker controls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Twyne</w:t>
            </w:r>
          </w:p>
        </w:tc>
        <w:tc>
          <w:tcPr>
            <w:tcW w:type="dxa" w:w="2541"/>
            <w:tcMar>
              <w:top w:w="80" w:type="dxa"/>
              <w:start w:w="100" w:type="dxa"/>
              <w:bottom w:w="80" w:type="dxa"/>
              <w:end w:w="100" w:type="dxa"/>
            </w:tcMar>
            <w:shd w:fill="FFF3CD"/>
          </w:tcPr>
          <w:p>
            <w:r>
              <w:rPr>
                <w:b/>
                <w:color w:val="646A73"/>
                <w:sz w:val="16"/>
              </w:rPr>
              <w:t>Priority</w:t>
              <w:br/>
            </w:r>
            <w:r>
              <w:rPr>
                <w:sz w:val="18"/>
              </w:rPr>
              <w:t>P1</w:t>
            </w:r>
          </w:p>
        </w:tc>
        <w:tc>
          <w:tcPr>
            <w:tcW w:type="dxa" w:w="2541"/>
            <w:tcMar>
              <w:top w:w="80" w:type="dxa"/>
              <w:start w:w="100" w:type="dxa"/>
              <w:bottom w:w="80" w:type="dxa"/>
              <w:end w:w="100" w:type="dxa"/>
            </w:tcMar>
            <w:shd w:fill="F6F8FA"/>
          </w:tcPr>
          <w:p>
            <w:r>
              <w:rPr>
                <w:b/>
                <w:color w:val="646A73"/>
                <w:sz w:val="16"/>
              </w:rPr>
              <w:t>Type</w:t>
              <w:br/>
            </w:r>
            <w:r>
              <w:rPr>
                <w:sz w:val="18"/>
              </w:rPr>
              <w:t>Component redesign</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The table maker is currently difficult to use. A number of controls/buttons are hidden or clipped and do not display their full text, making row/column operations unclear.</w:t>
      </w:r>
    </w:p>
    <w:p>
      <w:pPr>
        <w:pStyle w:val="IssueSection"/>
      </w:pPr>
      <w:r>
        <w:t>Product intuition</w:t>
      </w:r>
    </w:p>
    <w:p>
      <w:r>
        <w:t>The table maker does not need verbose controls if compact directional controls are more legible. Arrows and/or plus/minus controls for adding/removing rows and columns can communicate spatial operations more directly.</w:t>
      </w:r>
    </w:p>
    <w:p>
      <w:pPr>
        <w:pStyle w:val="IssueSection"/>
      </w:pPr>
      <w:r>
        <w:t>Implementation direction</w:t>
      </w:r>
    </w:p>
    <w:p>
      <w:pPr>
        <w:pStyle w:val="ListBullet"/>
      </w:pPr>
      <w:r>
        <w:t>Audit every table-control button for clipping/overflow at common widths.</w:t>
      </w:r>
    </w:p>
    <w:p>
      <w:pPr>
        <w:pStyle w:val="ListBullet"/>
      </w:pPr>
      <w:r>
        <w:t>Replace verbose row/column controls with compact, spatially meaningful arrows or plus/minus affordances where appropriate.</w:t>
      </w:r>
    </w:p>
    <w:p>
      <w:pPr>
        <w:pStyle w:val="ListBullet"/>
      </w:pPr>
      <w:r>
        <w:t>Keep destructive actions distinguishable and accessible; do not rely on icon-only semantics without tooltip/label support.</w:t>
      </w:r>
    </w:p>
    <w:p>
      <w:pPr>
        <w:pStyle w:val="ListBullet"/>
      </w:pPr>
      <w:r>
        <w:t>Make controls responsive so they remain usable on narrow layouts.</w:t>
      </w:r>
    </w:p>
    <w:p>
      <w:pPr>
        <w:pStyle w:val="ListBullet"/>
      </w:pPr>
      <w:r>
        <w:t>Consider placing add-row controls adjacent to table edges and add-column controls above/below relevant boundaries instead of a dense toolbar.</w:t>
      </w:r>
    </w:p>
    <w:p>
      <w:pPr>
        <w:pStyle w:val="IssueSection"/>
      </w:pPr>
      <w:r>
        <w:t>Acceptance criteria</w:t>
      </w:r>
    </w:p>
    <w:p>
      <w:pPr>
        <w:pStyle w:val="ListBullet"/>
      </w:pPr>
      <w:r>
        <w:t>No table-maker control text or icons are clipped/hidden.</w:t>
      </w:r>
    </w:p>
    <w:p>
      <w:pPr>
        <w:pStyle w:val="ListBullet"/>
      </w:pPr>
      <w:r>
        <w:t>Adding/removing rows and columns is immediately understandable.</w:t>
      </w:r>
    </w:p>
    <w:p>
      <w:pPr>
        <w:pStyle w:val="ListBullet"/>
      </w:pPr>
      <w:r>
        <w:t>Controls work with keyboard navigation and have accessible labels/tooltips.</w:t>
      </w:r>
    </w:p>
    <w:p>
      <w:pPr>
        <w:pStyle w:val="ListBullet"/>
      </w:pPr>
      <w:r>
        <w:t>The component remains usable on narrow screens.</w:t>
      </w:r>
    </w:p>
    <w:p>
      <w:pPr>
        <w:pStyle w:val="IssueSection"/>
      </w:pPr>
      <w:r>
        <w:t>Regression / test cases</w:t>
      </w:r>
    </w:p>
    <w:p>
      <w:pPr>
        <w:pStyle w:val="ListBullet"/>
      </w:pPr>
      <w:r>
        <w:t>1×1 table.</w:t>
      </w:r>
    </w:p>
    <w:p>
      <w:pPr>
        <w:pStyle w:val="ListBullet"/>
      </w:pPr>
      <w:r>
        <w:t>Wide table with many columns.</w:t>
      </w:r>
    </w:p>
    <w:p>
      <w:pPr>
        <w:pStyle w:val="ListBullet"/>
      </w:pPr>
      <w:r>
        <w:t>Tall table with many rows.</w:t>
      </w:r>
    </w:p>
    <w:p>
      <w:pPr>
        <w:pStyle w:val="ListBullet"/>
      </w:pPr>
      <w:r>
        <w:t>Narrow viewport.</w:t>
      </w:r>
    </w:p>
    <w:p>
      <w:pPr>
        <w:pStyle w:val="ListBullet"/>
      </w:pPr>
      <w:r>
        <w:t>Keyboard-only navigation.</w:t>
      </w:r>
    </w:p>
    <w:p/>
    <w:p>
      <w:r>
        <w:t>——————————————————————————————————————————</w:t>
      </w:r>
    </w:p>
    <w:p/>
    <w:p>
      <w:pPr>
        <w:pStyle w:val="IssueTitle"/>
      </w:pPr>
      <w:r>
        <w:t>12. Fix slash-command Enter selection after filtering/reordering</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Twyne</w:t>
            </w:r>
          </w:p>
        </w:tc>
        <w:tc>
          <w:tcPr>
            <w:tcW w:type="dxa" w:w="2541"/>
            <w:tcMar>
              <w:top w:w="80" w:type="dxa"/>
              <w:start w:w="100" w:type="dxa"/>
              <w:bottom w:w="80" w:type="dxa"/>
              <w:end w:w="100" w:type="dxa"/>
            </w:tcMar>
            <w:shd w:fill="FDE7E9"/>
          </w:tcPr>
          <w:p>
            <w:r>
              <w:rPr>
                <w:b/>
                <w:color w:val="646A73"/>
                <w:sz w:val="16"/>
              </w:rPr>
              <w:t>Priority</w:t>
              <w:br/>
            </w:r>
            <w:r>
              <w:rPr>
                <w:sz w:val="18"/>
              </w:rPr>
              <w:t>P0/P1</w:t>
            </w:r>
          </w:p>
        </w:tc>
        <w:tc>
          <w:tcPr>
            <w:tcW w:type="dxa" w:w="2541"/>
            <w:tcMar>
              <w:top w:w="80" w:type="dxa"/>
              <w:start w:w="100" w:type="dxa"/>
              <w:bottom w:w="80" w:type="dxa"/>
              <w:end w:w="100" w:type="dxa"/>
            </w:tcMar>
            <w:shd w:fill="F6F8FA"/>
          </w:tcPr>
          <w:p>
            <w:r>
              <w:rPr>
                <w:b/>
                <w:color w:val="646A73"/>
                <w:sz w:val="16"/>
              </w:rPr>
              <w:t>Type</w:t>
              <w:br/>
            </w:r>
            <w:r>
              <w:rPr>
                <w:sz w:val="18"/>
              </w:rPr>
              <w:t>Command palette bug</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When using the slash command menu, typing filters/reorders the visible commands, but pressing Enter can select the item that occupied that row/index before filtering rather than the currently highlighted visible result. The selection state appears to be indexed against the original list rather than the filtered list.</w:t>
      </w:r>
    </w:p>
    <w:p>
      <w:pPr>
        <w:pStyle w:val="IssueSection"/>
      </w:pPr>
      <w:r>
        <w:t>Product intuition</w:t>
      </w:r>
    </w:p>
    <w:p>
      <w:r>
        <w:t>Selection must belong to the rendered/filtered result set. A highlighted row is a promise: Enter must activate exactly that visible item.</w:t>
      </w:r>
    </w:p>
    <w:p>
      <w:pPr>
        <w:pStyle w:val="IssueSection"/>
      </w:pPr>
      <w:r>
        <w:t>Implementation direction</w:t>
      </w:r>
    </w:p>
    <w:p>
      <w:pPr>
        <w:pStyle w:val="ListBullet"/>
      </w:pPr>
      <w:r>
        <w:t>Derive keyboard selection from the filtered/reordered command array, not the original array.</w:t>
      </w:r>
    </w:p>
    <w:p>
      <w:pPr>
        <w:pStyle w:val="ListBullet"/>
      </w:pPr>
      <w:r>
        <w:t>Prefer storing selection by a stable command ID rather than a stale numeric index.</w:t>
      </w:r>
    </w:p>
    <w:p>
      <w:pPr>
        <w:pStyle w:val="ListBullet"/>
      </w:pPr>
      <w:r>
        <w:t>When the filter changes, reconcile the selected ID with the filtered result set; if absent, move selection to a sensible visible result (usually the first item).</w:t>
      </w:r>
    </w:p>
    <w:p>
      <w:pPr>
        <w:pStyle w:val="ListBullet"/>
      </w:pPr>
      <w:r>
        <w:t>Ensure mouse hover/click and keyboard highlight operate on the same filtered model.</w:t>
      </w:r>
    </w:p>
    <w:p>
      <w:pPr>
        <w:pStyle w:val="ListBullet"/>
      </w:pPr>
      <w:r>
        <w:t>Avoid asynchronous filtering updates that leave `selectedIndex` one render behind.</w:t>
      </w:r>
    </w:p>
    <w:p>
      <w:pPr>
        <w:pStyle w:val="IssueSection"/>
      </w:pPr>
      <w:r>
        <w:t>Acceptance criteria</w:t>
      </w:r>
    </w:p>
    <w:p>
      <w:pPr>
        <w:pStyle w:val="ListBullet"/>
      </w:pPr>
      <w:r>
        <w:t>Pressing Enter always chooses the visibly highlighted command.</w:t>
      </w:r>
    </w:p>
    <w:p>
      <w:pPr>
        <w:pStyle w:val="ListBullet"/>
      </w:pPr>
      <w:r>
        <w:t>Typing/reordering results never causes Enter to execute a hidden/stale command.</w:t>
      </w:r>
    </w:p>
    <w:p>
      <w:pPr>
        <w:pStyle w:val="ListBullet"/>
      </w:pPr>
      <w:r>
        <w:t>Arrow-key movement stays within the filtered list.</w:t>
      </w:r>
    </w:p>
    <w:p>
      <w:pPr>
        <w:pStyle w:val="ListBullet"/>
      </w:pPr>
      <w:r>
        <w:t>Mouse and keyboard selection agree.</w:t>
      </w:r>
    </w:p>
    <w:p>
      <w:pPr>
        <w:pStyle w:val="IssueSection"/>
      </w:pPr>
      <w:r>
        <w:t>Regression / test cases</w:t>
      </w:r>
    </w:p>
    <w:p>
      <w:pPr>
        <w:pStyle w:val="ListBullet"/>
      </w:pPr>
      <w:r>
        <w:t>Open slash menu → type filter → first item moves → press Enter.</w:t>
      </w:r>
    </w:p>
    <w:p>
      <w:pPr>
        <w:pStyle w:val="ListBullet"/>
      </w:pPr>
      <w:r>
        <w:t>Filter to one result → Enter.</w:t>
      </w:r>
    </w:p>
    <w:p>
      <w:pPr>
        <w:pStyle w:val="ListBullet"/>
      </w:pPr>
      <w:r>
        <w:t>Filter, arrow down, change filter again, Enter.</w:t>
      </w:r>
    </w:p>
    <w:p>
      <w:pPr>
        <w:pStyle w:val="ListBullet"/>
      </w:pPr>
      <w:r>
        <w:t>Clear filter after selection and verify selection reconciliation.</w:t>
      </w:r>
    </w:p>
    <w:p/>
    <w:p>
      <w:r>
        <w:t>——————————————————————————————————————————</w:t>
      </w:r>
    </w:p>
    <w:p/>
    <w:p>
      <w:pPr>
        <w:pStyle w:val="IssueTitle"/>
      </w:pPr>
      <w:r>
        <w:t>13. Scope Galley editors, apparatus, and sources per folio</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Twyne</w:t>
            </w:r>
          </w:p>
        </w:tc>
        <w:tc>
          <w:tcPr>
            <w:tcW w:type="dxa" w:w="2541"/>
            <w:tcMar>
              <w:top w:w="80" w:type="dxa"/>
              <w:start w:w="100" w:type="dxa"/>
              <w:bottom w:w="80" w:type="dxa"/>
              <w:end w:w="100" w:type="dxa"/>
            </w:tcMar>
            <w:shd w:fill="FDE7E9"/>
          </w:tcPr>
          <w:p>
            <w:r>
              <w:rPr>
                <w:b/>
                <w:color w:val="646A73"/>
                <w:sz w:val="16"/>
              </w:rPr>
              <w:t>Priority</w:t>
              <w:br/>
            </w:r>
            <w:r>
              <w:rPr>
                <w:sz w:val="18"/>
              </w:rPr>
              <w:t>P0/P1</w:t>
            </w:r>
          </w:p>
        </w:tc>
        <w:tc>
          <w:tcPr>
            <w:tcW w:type="dxa" w:w="2541"/>
            <w:tcMar>
              <w:top w:w="80" w:type="dxa"/>
              <w:start w:w="100" w:type="dxa"/>
              <w:bottom w:w="80" w:type="dxa"/>
              <w:end w:w="100" w:type="dxa"/>
            </w:tcMar>
            <w:shd w:fill="F6F8FA"/>
          </w:tcPr>
          <w:p>
            <w:r>
              <w:rPr>
                <w:b/>
                <w:color w:val="646A73"/>
                <w:sz w:val="16"/>
              </w:rPr>
              <w:t>Type</w:t>
              <w:br/>
            </w:r>
            <w:r>
              <w:rPr>
                <w:sz w:val="18"/>
              </w:rPr>
              <w:t>State scoping / data integrity</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The Galley does not appear to clear or isolate discovered sources per folio. Sources can carry over when moving between folios, which violates the intended mental model and risks presenting irrelevant editorial apparatus for the wrong piece of writing.</w:t>
      </w:r>
    </w:p>
    <w:p>
      <w:pPr>
        <w:pStyle w:val="IssueSection"/>
      </w:pPr>
      <w:r>
        <w:t>Product intuition</w:t>
      </w:r>
    </w:p>
    <w:p>
      <w:r>
        <w:t>Every folio should have its own editors and its own apparatus. The core invariant is: Folioᵢ → {editorsᵢ, apparatusᵢ, sourcesᵢ}. These should not be global Galley state that merely happens to be displayed while a folio is active.</w:t>
      </w:r>
    </w:p>
    <w:p>
      <w:pPr>
        <w:pStyle w:val="IssueSection"/>
      </w:pPr>
      <w:r>
        <w:t>Implementation direction</w:t>
      </w:r>
    </w:p>
    <w:p>
      <w:pPr>
        <w:pStyle w:val="ListBullet"/>
      </w:pPr>
      <w:r>
        <w:t>Key editors, apparatus, and discovered sources by stable folio ID.</w:t>
      </w:r>
    </w:p>
    <w:p>
      <w:pPr>
        <w:pStyle w:val="ListBullet"/>
      </w:pPr>
      <w:r>
        <w:t>On folio switch, load only that folio's state; do not reuse the previous folio's in-memory arrays unless keyed by folio.</w:t>
      </w:r>
    </w:p>
    <w:p>
      <w:pPr>
        <w:pStyle w:val="ListBullet"/>
      </w:pPr>
      <w:r>
        <w:t>A newly created folio should start with empty/local editor-apparatus-source state unless explicitly cloned.</w:t>
      </w:r>
    </w:p>
    <w:p>
      <w:pPr>
        <w:pStyle w:val="ListBullet"/>
      </w:pPr>
      <w:r>
        <w:t>Persist per-folio state so switching away and back restores the correct data.</w:t>
      </w:r>
    </w:p>
    <w:p>
      <w:pPr>
        <w:pStyle w:val="ListBullet"/>
      </w:pPr>
      <w:r>
        <w:t>Audit any caches, React stores, Convex queries, or derived selectors that currently live at Galley/global scope.</w:t>
      </w:r>
    </w:p>
    <w:p>
      <w:pPr>
        <w:pStyle w:val="IssueSection"/>
      </w:pPr>
      <w:r>
        <w:t>Acceptance criteria</w:t>
      </w:r>
    </w:p>
    <w:p>
      <w:pPr>
        <w:pStyle w:val="ListBullet"/>
      </w:pPr>
      <w:r>
        <w:t>New folios start clean with respect to sources/editors/apparatus.</w:t>
      </w:r>
    </w:p>
    <w:p>
      <w:pPr>
        <w:pStyle w:val="ListBullet"/>
      </w:pPr>
      <w:r>
        <w:t>Sources from folio A never appear in folio B unless explicitly added there.</w:t>
      </w:r>
    </w:p>
    <w:p>
      <w:pPr>
        <w:pStyle w:val="ListBullet"/>
      </w:pPr>
      <w:r>
        <w:t>Editors and apparatus are independently scoped per folio.</w:t>
      </w:r>
    </w:p>
    <w:p>
      <w:pPr>
        <w:pStyle w:val="ListBullet"/>
      </w:pPr>
      <w:r>
        <w:t>Switching A → B → A restores A’s original state exactly.</w:t>
      </w:r>
    </w:p>
    <w:p>
      <w:pPr>
        <w:pStyle w:val="ListBullet"/>
      </w:pPr>
      <w:r>
        <w:t>Deleting/archiving a folio does not corrupt another folio’s apparatus.</w:t>
      </w:r>
    </w:p>
    <w:p>
      <w:pPr>
        <w:pStyle w:val="IssueSection"/>
      </w:pPr>
      <w:r>
        <w:t>Regression / test cases</w:t>
      </w:r>
    </w:p>
    <w:p>
      <w:pPr>
        <w:pStyle w:val="ListBullet"/>
      </w:pPr>
      <w:r>
        <w:t>Create folio A; add/find sources and editor apparatus.</w:t>
      </w:r>
    </w:p>
    <w:p>
      <w:pPr>
        <w:pStyle w:val="ListBullet"/>
      </w:pPr>
      <w:r>
        <w:t>Create folio B; verify clean state.</w:t>
      </w:r>
    </w:p>
    <w:p>
      <w:pPr>
        <w:pStyle w:val="ListBullet"/>
      </w:pPr>
      <w:r>
        <w:t>Add distinct B state.</w:t>
      </w:r>
    </w:p>
    <w:p>
      <w:pPr>
        <w:pStyle w:val="ListBullet"/>
      </w:pPr>
      <w:r>
        <w:t>Switch B → A and verify only A state.</w:t>
      </w:r>
    </w:p>
    <w:p>
      <w:pPr>
        <w:pStyle w:val="ListBullet"/>
      </w:pPr>
      <w:r>
        <w:t>Reload app and repeat A → B → A to test persistence.</w:t>
      </w:r>
    </w:p>
    <w:p/>
    <w:p>
      <w:r>
        <w:t>——————————————————————————————————————————</w:t>
      </w:r>
    </w:p>
    <w:p/>
    <w:p>
      <w:pPr>
        <w:pStyle w:val="IssueTitle"/>
      </w:pPr>
      <w:r>
        <w:t>14. Keep the conversation input visible without page scrolling</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tcMar>
              <w:top w:w="80" w:type="dxa"/>
              <w:start w:w="100" w:type="dxa"/>
              <w:bottom w:w="80" w:type="dxa"/>
              <w:end w:w="100" w:type="dxa"/>
            </w:tcMar>
            <w:shd w:fill="F6F8FA"/>
          </w:tcPr>
          <w:p>
            <w:r>
              <w:rPr>
                <w:b/>
                <w:color w:val="646A73"/>
                <w:sz w:val="16"/>
              </w:rPr>
              <w:t>Product</w:t>
              <w:br/>
            </w:r>
            <w:r>
              <w:rPr>
                <w:sz w:val="18"/>
              </w:rPr>
              <w:t>Twyne</w:t>
            </w:r>
          </w:p>
        </w:tc>
        <w:tc>
          <w:tcPr>
            <w:tcW w:type="dxa" w:w="2541"/>
            <w:tcMar>
              <w:top w:w="80" w:type="dxa"/>
              <w:start w:w="100" w:type="dxa"/>
              <w:bottom w:w="80" w:type="dxa"/>
              <w:end w:w="100" w:type="dxa"/>
            </w:tcMar>
            <w:shd w:fill="FFF3CD"/>
          </w:tcPr>
          <w:p>
            <w:r>
              <w:rPr>
                <w:b/>
                <w:color w:val="646A73"/>
                <w:sz w:val="16"/>
              </w:rPr>
              <w:t>Priority</w:t>
              <w:br/>
            </w:r>
            <w:r>
              <w:rPr>
                <w:sz w:val="18"/>
              </w:rPr>
              <w:t>P1</w:t>
            </w:r>
          </w:p>
        </w:tc>
        <w:tc>
          <w:tcPr>
            <w:tcW w:type="dxa" w:w="2541"/>
            <w:tcMar>
              <w:top w:w="80" w:type="dxa"/>
              <w:start w:w="100" w:type="dxa"/>
              <w:bottom w:w="80" w:type="dxa"/>
              <w:end w:w="100" w:type="dxa"/>
            </w:tcMar>
            <w:shd w:fill="F6F8FA"/>
          </w:tcPr>
          <w:p>
            <w:r>
              <w:rPr>
                <w:b/>
                <w:color w:val="646A73"/>
                <w:sz w:val="16"/>
              </w:rPr>
              <w:t>Type</w:t>
              <w:br/>
            </w:r>
            <w:r>
              <w:rPr>
                <w:sz w:val="18"/>
              </w:rPr>
              <w:t>Conversation UX</w:t>
            </w:r>
          </w:p>
        </w:tc>
        <w:tc>
          <w:tcPr>
            <w:tcW w:type="dxa" w:w="2541"/>
            <w:tcMar>
              <w:top w:w="80" w:type="dxa"/>
              <w:start w:w="100" w:type="dxa"/>
              <w:bottom w:w="80" w:type="dxa"/>
              <w:end w:w="100" w:type="dxa"/>
            </w:tcMar>
            <w:shd w:fill="F6F8FA"/>
          </w:tcPr>
          <w:p>
            <w:r>
              <w:rPr>
                <w:b/>
                <w:color w:val="646A73"/>
                <w:sz w:val="16"/>
              </w:rPr>
              <w:t>Status</w:t>
              <w:br/>
            </w:r>
            <w:r>
              <w:rPr>
                <w:sz w:val="18"/>
              </w:rPr>
              <w:t>Not opened in GitHub</w:t>
            </w:r>
          </w:p>
        </w:tc>
      </w:tr>
    </w:tbl>
    <w:p/>
    <w:p>
      <w:pPr>
        <w:pStyle w:val="IssueSection"/>
      </w:pPr>
      <w:r>
        <w:t>Problem</w:t>
      </w:r>
    </w:p>
    <w:p>
      <w:r>
        <w:t>On the conversation page, users currently have to scroll down to find the input field/composer. The primary action for continuing a conversation should be visible on screen rather than hidden below the fold.</w:t>
      </w:r>
    </w:p>
    <w:p>
      <w:pPr>
        <w:pStyle w:val="IssueSection"/>
      </w:pPr>
      <w:r>
        <w:t>Product intuition</w:t>
      </w:r>
    </w:p>
    <w:p>
      <w:r>
        <w:t>The conversation history should scroll; the composer should remain available. Users should not have to perform navigation just to reach the place where they type the next message.</w:t>
      </w:r>
    </w:p>
    <w:p>
      <w:pPr>
        <w:pStyle w:val="IssueSection"/>
      </w:pPr>
      <w:r>
        <w:t>Implementation direction</w:t>
      </w:r>
    </w:p>
    <w:p>
      <w:pPr>
        <w:pStyle w:val="ListBullet"/>
      </w:pPr>
      <w:r>
        <w:t>Make the conversation composer sticky/fixed to the bottom of the conversation viewport rather than part of the scrolling history flow.</w:t>
      </w:r>
    </w:p>
    <w:p>
      <w:pPr>
        <w:pStyle w:val="ListBullet"/>
      </w:pPr>
      <w:r>
        <w:t>Give the message list sufficient bottom padding so the last message is never hidden underneath the composer.</w:t>
      </w:r>
    </w:p>
    <w:p>
      <w:pPr>
        <w:pStyle w:val="ListBullet"/>
      </w:pPr>
      <w:r>
        <w:t>Use the correct container height so the app shell/header does not push the composer below the viewport.</w:t>
      </w:r>
    </w:p>
    <w:p>
      <w:pPr>
        <w:pStyle w:val="ListBullet"/>
      </w:pPr>
      <w:r>
        <w:t>Handle mobile virtual keyboards and safe-area insets.</w:t>
      </w:r>
    </w:p>
    <w:p>
      <w:pPr>
        <w:pStyle w:val="ListBullet"/>
      </w:pPr>
      <w:r>
        <w:t>Preserve autoscroll-to-latest behavior without fighting users who intentionally scrolled upward.</w:t>
      </w:r>
    </w:p>
    <w:p>
      <w:pPr>
        <w:pStyle w:val="IssueSection"/>
      </w:pPr>
      <w:r>
        <w:t>Acceptance criteria</w:t>
      </w:r>
    </w:p>
    <w:p>
      <w:pPr>
        <w:pStyle w:val="ListBullet"/>
      </w:pPr>
      <w:r>
        <w:t>The input composer is visible immediately when entering a conversation at ordinary viewport sizes.</w:t>
      </w:r>
    </w:p>
    <w:p>
      <w:pPr>
        <w:pStyle w:val="ListBullet"/>
      </w:pPr>
      <w:r>
        <w:t>Users can scroll message history independently while the composer remains available.</w:t>
      </w:r>
    </w:p>
    <w:p>
      <w:pPr>
        <w:pStyle w:val="ListBullet"/>
      </w:pPr>
      <w:r>
        <w:t>The latest message is not obscured by the composer.</w:t>
      </w:r>
    </w:p>
    <w:p>
      <w:pPr>
        <w:pStyle w:val="ListBullet"/>
      </w:pPr>
      <w:r>
        <w:t>Mobile keyboard opening does not hide the composer or cause unusable layout jumps.</w:t>
      </w:r>
    </w:p>
    <w:p>
      <w:pPr>
        <w:pStyle w:val="ListBullet"/>
      </w:pPr>
      <w:r>
        <w:t>Desktop and narrow-window behavior are both correct.</w:t>
      </w:r>
    </w:p>
    <w:p>
      <w:pPr>
        <w:pStyle w:val="IssueSection"/>
      </w:pPr>
      <w:r>
        <w:t>Regression / test cases</w:t>
      </w:r>
    </w:p>
    <w:p>
      <w:pPr>
        <w:pStyle w:val="ListBullet"/>
      </w:pPr>
      <w:r>
        <w:t>Short conversation shorter than viewport.</w:t>
      </w:r>
    </w:p>
    <w:p>
      <w:pPr>
        <w:pStyle w:val="ListBullet"/>
      </w:pPr>
      <w:r>
        <w:t>Long conversation requiring history scroll.</w:t>
      </w:r>
    </w:p>
    <w:p>
      <w:pPr>
        <w:pStyle w:val="ListBullet"/>
      </w:pPr>
      <w:r>
        <w:t>Resize desktop window vertically.</w:t>
      </w:r>
    </w:p>
    <w:p>
      <w:pPr>
        <w:pStyle w:val="ListBullet"/>
      </w:pPr>
      <w:r>
        <w:t>Mobile viewport + virtual keyboard.</w:t>
      </w:r>
    </w:p>
    <w:p>
      <w:pPr>
        <w:pStyle w:val="ListBullet"/>
      </w:pPr>
      <w:r>
        <w:t>Scroll upward in history while new content arrives.</w:t>
      </w:r>
    </w:p>
    <w:p/>
    <w:p>
      <w:r>
        <w:t>——————————————————————————————————————————</w:t>
      </w:r>
    </w:p>
    <w:p/>
    <w:p>
      <w:pPr>
        <w:pStyle w:val="Heading1"/>
      </w:pPr>
      <w:r>
        <w:t>Suggested implementation order</w:t>
      </w:r>
    </w:p>
    <w:p>
      <w:r>
        <w:t>This ordering follows the discussion: reliability and activation blockers first, then core UX, then polish.</w:t>
      </w:r>
    </w:p>
    <w:p>
      <w:pPr>
        <w:pStyle w:val="ListNumber"/>
      </w:pPr>
      <w:r>
        <w:t>Keating stamping completion hang.</w:t>
      </w:r>
    </w:p>
    <w:p>
      <w:pPr>
        <w:pStyle w:val="ListNumber"/>
      </w:pPr>
      <w:r>
        <w:t>Twyne slash-command stale selection bug and Galley folio state isolation.</w:t>
      </w:r>
    </w:p>
    <w:p>
      <w:pPr>
        <w:pStyle w:val="ListNumber"/>
      </w:pPr>
      <w:r>
        <w:t>Twyne TTS startup latency + alignment architecture.</w:t>
      </w:r>
    </w:p>
    <w:p>
      <w:pPr>
        <w:pStyle w:val="ListNumber"/>
      </w:pPr>
      <w:r>
        <w:t>Keating dark-mode readability and Twyne conversation/comment viewport issues.</w:t>
      </w:r>
    </w:p>
    <w:p>
      <w:pPr>
        <w:pStyle w:val="ListNumber"/>
      </w:pPr>
      <w:r>
        <w:t>Keating hosted provider path beyond BYOK.</w:t>
      </w:r>
    </w:p>
    <w:p>
      <w:pPr>
        <w:pStyle w:val="ListNumber"/>
      </w:pPr>
      <w:r>
        <w:t>Canvas feature flag and Keating session-forking redesign.</w:t>
      </w:r>
    </w:p>
    <w:p>
      <w:pPr>
        <w:pStyle w:val="ListNumber"/>
      </w:pPr>
      <w:r>
        <w:t>Table maker redesign, damaged asset cleanup, and Twyne icon cleanup.</w:t>
      </w:r>
    </w:p>
    <w:p>
      <w:pPr>
        <w:pStyle w:val="Heading2"/>
      </w:pPr>
      <w:r>
        <w:t>TTS architecture decision note</w:t>
      </w:r>
    </w:p>
    <w:p>
      <w:r>
        <w:t>For Twyne voice, the strongest near-term architecture discussed was: streamed TTS + semantic chunks + provider-native timestamps when available, with a normalized alignment interface and an open-source forced-alignment fallback. OpenAI is attractive on cost and streaming but currently lacks documented native TTS alignment; ElevenLabs, Cartesia, and Fish Audio are worth benchmarking because they can provide alignment natively. Browser-side ONNX CTC alignment is attractive for a zero-marginal-cost fallback if latency and accuracy are good enough.</w:t>
      </w:r>
    </w:p>
    <w:sectPr w:rsidR="00FC693F" w:rsidRPr="0006063C" w:rsidSect="00034616">
      <w:footerReference w:type="default" r:id="rId2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94A3"/>
        <w:sz w:val="16"/>
      </w:rPr>
      <w:t xml:space="preserve">Keating + Twyne Issue Backlog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4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ueTitle">
    <w:name w:val="Issue Title"/>
    <w:pPr>
      <w:spacing w:before="160" w:after="80"/>
    </w:pPr>
    <w:rPr>
      <w:rFonts w:ascii="Aptos Display" w:hAnsi="Aptos Display"/>
      <w:b/>
      <w:color w:val="111827"/>
      <w:sz w:val="32"/>
    </w:rPr>
  </w:style>
  <w:style w:type="paragraph" w:customStyle="1" w:styleId="IssueSection">
    <w:name w:val="Issue Section"/>
    <w:pPr>
      <w:spacing w:before="120" w:after="80"/>
    </w:pPr>
    <w:rPr>
      <w:rFonts w:ascii="Aptos" w:hAnsi="Aptos"/>
      <w:b/>
      <w:color w:val="2F6FE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form.openai.com/docs/guides/text-to-speech" TargetMode="External"/><Relationship Id="rId10" Type="http://schemas.openxmlformats.org/officeDocument/2006/relationships/hyperlink" Target="https://platform.openai.com/docs/api-reference/audio/createSpeech" TargetMode="External"/><Relationship Id="rId11" Type="http://schemas.openxmlformats.org/officeDocument/2006/relationships/hyperlink" Target="https://elevenlabs.io/docs/api-reference/text-to-speech/convert-with-timestamps" TargetMode="External"/><Relationship Id="rId12" Type="http://schemas.openxmlformats.org/officeDocument/2006/relationships/hyperlink" Target="https://elevenlabs.io/docs/eleven-api/guides/how-to/websockets/realtime-tts" TargetMode="External"/><Relationship Id="rId13" Type="http://schemas.openxmlformats.org/officeDocument/2006/relationships/hyperlink" Target="https://elevenlabs.io/docs/overview/capabilities/forced-alignment" TargetMode="External"/><Relationship Id="rId14" Type="http://schemas.openxmlformats.org/officeDocument/2006/relationships/hyperlink" Target="https://docs.cartesia.ai/use-the-api/compare-tts-endpoints" TargetMode="External"/><Relationship Id="rId15" Type="http://schemas.openxmlformats.org/officeDocument/2006/relationships/hyperlink" Target="https://docs.fish.audio/api-reference/endpoint/openapi-v1/text-to-speech-stream-with-timestamps" TargetMode="External"/><Relationship Id="rId16" Type="http://schemas.openxmlformats.org/officeDocument/2006/relationships/hyperlink" Target="https://docs.fish.audio/api-reference/endpoint/websocket/tts-live" TargetMode="External"/><Relationship Id="rId17" Type="http://schemas.openxmlformats.org/officeDocument/2006/relationships/hyperlink" Target="https://github.com/MontrealCorpusTools/Montreal-Forced-Aligner" TargetMode="External"/><Relationship Id="rId18" Type="http://schemas.openxmlformats.org/officeDocument/2006/relationships/hyperlink" Target="https://arxiv.org/abs/2303.00747" TargetMode="External"/><Relationship Id="rId19" Type="http://schemas.openxmlformats.org/officeDocument/2006/relationships/hyperlink" Target="https://huggingface.co/onnx-community/wav2vec2-base-960h-ONNX"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Keating + Twyne Issue Backlog</dc:title>
  <dc:subject>Detailed product issue specifications</dc:subject>
  <dc:creator>OpenAI</dc:creator>
  <cp:keywords>Keating, Twyne, product backlog, GitHub issues, UX, TTS</cp:keywords>
  <dc:description>generated by python-docx</dc:description>
  <cp:lastModifiedBy/>
  <cp:revision>1</cp:revision>
  <dcterms:created xsi:type="dcterms:W3CDTF">2013-12-23T23:15:00Z</dcterms:created>
  <dcterms:modified xsi:type="dcterms:W3CDTF">2013-12-23T23:15:00Z</dcterms:modified>
  <cp:category/>
</cp:coreProperties>
</file>