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Integrantes do Projeto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Cliente: Nike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Contato: </w:t>
      </w:r>
      <w:r w:rsidDel="00000000" w:rsidR="00000000" w:rsidRPr="00000000">
        <w:rPr>
          <w:color w:val="040c28"/>
          <w:sz w:val="24"/>
          <w:szCs w:val="24"/>
          <w:shd w:fill="d3e3fd" w:val="clear"/>
          <w:rtl w:val="0"/>
        </w:rPr>
        <w:t xml:space="preserve">sac@nike.com.br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Equipe de Desenvolvimento</w:t>
      </w:r>
    </w:p>
    <w:tbl>
      <w:tblPr>
        <w:tblStyle w:val="Table1"/>
        <w:tblW w:w="12915.0" w:type="dxa"/>
        <w:jc w:val="lef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580"/>
        <w:gridCol w:w="2580"/>
        <w:gridCol w:w="2145"/>
        <w:gridCol w:w="2970"/>
        <w:gridCol w:w="2640"/>
        <w:tblGridChange w:id="0">
          <w:tblGrid>
            <w:gridCol w:w="2580"/>
            <w:gridCol w:w="2580"/>
            <w:gridCol w:w="2145"/>
            <w:gridCol w:w="2970"/>
            <w:gridCol w:w="2640"/>
          </w:tblGrid>
        </w:tblGridChange>
      </w:tblGrid>
      <w:tr>
        <w:trPr>
          <w:cantSplit w:val="0"/>
          <w:trHeight w:val="459.9609375" w:hRule="atLeast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Principais Responsabilidades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Kaiky Marques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2301737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Gerente de Projeto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Coordenação geral, comunicação, gestão de prazos e recursos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1194968281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Diogo Gomes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2301602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de Sistemas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Levantamento de requisitos, modelagem, documentação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11982465305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Igor Isidoro de Souza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3201802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Desenvolvedor de Sistemas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Codificação, desenvolvimento, testes unitários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11981940331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Daniel Alberes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2301767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Especialista em Qualidade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e execução de testes, garantia da qualidade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11930054414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