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4BC4" w14:textId="77777777" w:rsidR="00BE400E" w:rsidRPr="00BE400E" w:rsidRDefault="00BE400E" w:rsidP="00BE400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E400E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00187473" w14:textId="77777777" w:rsidR="00BE400E" w:rsidRPr="00BE400E" w:rsidRDefault="00BE400E" w:rsidP="00BE400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E400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Declaração Universal dos Direitos Humanos prevê que “toda pessoa vítima de perseguição tem o direito de procurar e de gozar asilo em outros países.” A exceção a esse direito, também descrita no documento, ocorre quando:</w:t>
      </w:r>
    </w:p>
    <w:p w14:paraId="1C64A00E" w14:textId="3DEB96DC" w:rsidR="00CD7845" w:rsidRDefault="00255BBD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255BBD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 perseguição for legitimamente motivada por crimes de direito comum</w:t>
      </w:r>
    </w:p>
    <w:p w14:paraId="120756CF" w14:textId="3E99F15B" w:rsidR="00844AFE" w:rsidRDefault="00844AFE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585E0C0" w14:textId="77777777" w:rsidR="00844AFE" w:rsidRPr="00844AFE" w:rsidRDefault="00844AFE" w:rsidP="00844AFE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844AFE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0C0C0FC7" w14:textId="1A6B6AF8" w:rsidR="00844AFE" w:rsidRDefault="00844AFE" w:rsidP="00844AF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44AF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Crimes de direito comum são aqueles que não exigem nenhuma qualidade específica do sujeito ativo para a sua prática. Como por exemplo, os crimes de homicídio, furto e estupro. Nesses casos não se aplica o direito a asilo político.</w:t>
      </w:r>
    </w:p>
    <w:p w14:paraId="40DE3A89" w14:textId="77777777" w:rsidR="0019714B" w:rsidRPr="0019714B" w:rsidRDefault="0019714B" w:rsidP="0019714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9714B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28786586" w14:textId="77777777" w:rsidR="0019714B" w:rsidRPr="0019714B" w:rsidRDefault="0019714B" w:rsidP="0019714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9714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respeito da Declaração Universal dos Direitos Humanos, avalie as proposições a seguir.</w:t>
      </w:r>
    </w:p>
    <w:p w14:paraId="2DDB91A9" w14:textId="7FC270D2" w:rsidR="0019714B" w:rsidRPr="0019714B" w:rsidRDefault="0019714B" w:rsidP="0019714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9714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I) A Declaração Universal dos Direitos Humanos é um documento que delimita os direitos fundamentais do ser humano.</w:t>
      </w:r>
      <w:r w:rsidR="00F71B7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="00F71B73" w:rsidRPr="00596591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(Verdadeiro)</w:t>
      </w:r>
    </w:p>
    <w:p w14:paraId="5B6FBAEA" w14:textId="31C223FD" w:rsidR="0019714B" w:rsidRPr="0019714B" w:rsidRDefault="0019714B" w:rsidP="0019714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9714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II) Lista direitos cujo respeito e observância universal devem ser promovidos pelos Estados-membros da Organização das Nações Unidas.</w:t>
      </w:r>
      <w:r w:rsidR="00F71B7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="00F71B73" w:rsidRPr="00596591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(Verdadeiro)</w:t>
      </w:r>
    </w:p>
    <w:p w14:paraId="68627786" w14:textId="0E0B3FAB" w:rsidR="0019714B" w:rsidRPr="0019714B" w:rsidRDefault="0019714B" w:rsidP="0019714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9714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III) Sua criação foi motivada especialmente para promover a observância dos direitos humanos fortemente abalados na Segunda Guerra Mundial.</w:t>
      </w:r>
      <w:r w:rsidR="00F71B7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="00F71B73" w:rsidRPr="00596591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(Verdadeiro)</w:t>
      </w:r>
    </w:p>
    <w:p w14:paraId="24904BB0" w14:textId="3421D2FD" w:rsidR="0019714B" w:rsidRPr="0019714B" w:rsidRDefault="0019714B" w:rsidP="0019714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9714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IV) Criado em 1938, a Declaração foi assinada à época pelos mais de 190 Estados-membros da ONU.</w:t>
      </w:r>
      <w:r w:rsidR="00F71B7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="00F71B73" w:rsidRPr="00596591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(Falso)</w:t>
      </w:r>
      <w:r w:rsidR="00596591" w:rsidRPr="00596591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 </w:t>
      </w:r>
      <w:r w:rsidR="00596591" w:rsidRPr="00596591">
        <w:rPr>
          <w:rFonts w:ascii="InterUI" w:hAnsi="InterUI"/>
          <w:b/>
          <w:bCs/>
          <w:color w:val="666666"/>
          <w:spacing w:val="-12"/>
          <w:sz w:val="30"/>
          <w:szCs w:val="30"/>
          <w:shd w:val="clear" w:color="auto" w:fill="FFFFFF"/>
        </w:rPr>
        <w:t>FOI CRIADA APÓS A SEGUNDA GUERRA MUNDIAL (A GUERRA ACABOU EM 1945)</w:t>
      </w:r>
    </w:p>
    <w:p w14:paraId="4EB46A04" w14:textId="737CA6CE" w:rsidR="0019714B" w:rsidRDefault="0019714B" w:rsidP="0019714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9714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Avalie as afirmações acima e marque a opção que corresponda, na devida ordem, ao acerto ou erro de cada uma:</w:t>
      </w:r>
    </w:p>
    <w:p w14:paraId="00CBAAEB" w14:textId="77777777" w:rsidR="00B0104C" w:rsidRPr="00B0104C" w:rsidRDefault="00B0104C" w:rsidP="00B010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0104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2068A595" w14:textId="77777777" w:rsidR="00B0104C" w:rsidRPr="00B0104C" w:rsidRDefault="00B0104C" w:rsidP="00B0104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0104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(UFRJ-2006) Segundo a concepção clássica desenvolvida por T. H. Marshall, a cidadania moderna prevê a garantia e o usufruto pleno de três categorias de direitos: direitos civis, direitos políticos e direitos sociais. Pertence à categoria dos direitos civis o direito:</w:t>
      </w:r>
    </w:p>
    <w:p w14:paraId="1018334C" w14:textId="2DB6E71A" w:rsidR="00B0104C" w:rsidRDefault="002020C6" w:rsidP="0019714B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2020C6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De ir e vir e a liberdade de pensamento</w:t>
      </w:r>
    </w:p>
    <w:p w14:paraId="7788AFB6" w14:textId="77777777" w:rsidR="00C2200B" w:rsidRDefault="00C2200B" w:rsidP="00C2200B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1C9D965" w14:textId="53A142EB" w:rsidR="00C2200B" w:rsidRDefault="00C2200B" w:rsidP="00C2200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Segundo a concepção clássica desenvolvida por T. H. Marshall, a cidadania moderna prevê a garantia e o usufruto pleno de três categorias de direitos: direitos civis, direitos políticos e direitos sociais. Pertence à categoria dos direitos civis o direito de ir e vir e a liberdade de pensamento</w:t>
      </w:r>
    </w:p>
    <w:p w14:paraId="6C91159F" w14:textId="77777777" w:rsidR="00C2200B" w:rsidRDefault="00C2200B" w:rsidP="00C2200B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3FE5BE56" w14:textId="77777777" w:rsidR="00C2200B" w:rsidRPr="00C2200B" w:rsidRDefault="00C2200B" w:rsidP="00C2200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2200B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04</w:t>
      </w:r>
    </w:p>
    <w:p w14:paraId="6BC3CE05" w14:textId="0B65A233" w:rsidR="00C2200B" w:rsidRDefault="00C2200B" w:rsidP="00C2200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2200B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(IPAD- 2007)</w:t>
      </w:r>
      <w:r w:rsidRPr="00C2200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A literatura sobre cidadania expressa que:</w:t>
      </w:r>
    </w:p>
    <w:p w14:paraId="550C2D5B" w14:textId="01591F26" w:rsidR="00B8379C" w:rsidRDefault="00B8379C" w:rsidP="00C2200B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shd w:val="clear" w:color="auto" w:fill="FFFFFF"/>
        </w:rPr>
      </w:pPr>
      <w:r w:rsidRPr="00B8379C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shd w:val="clear" w:color="auto" w:fill="FFFFFF"/>
        </w:rPr>
        <w:t>A cidadania é construída como processo eminentemente histórico, como resultado de uma luta permanente a partir das classes subalternas</w:t>
      </w:r>
    </w:p>
    <w:p w14:paraId="1B368EB8" w14:textId="77777777" w:rsidR="002F3D69" w:rsidRDefault="002F3D69" w:rsidP="002F3D69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170DEAC9" w14:textId="77777777" w:rsidR="002F3D69" w:rsidRDefault="002F3D69" w:rsidP="002F3D6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cidadania existente na Grécia Antiga não é a mesma que existe no mundo ocidental atual, ao mesmo tempo que a cidadania presente nos países de cultura ocidental não é a mesma que prospera nos países ocidentais</w:t>
      </w:r>
    </w:p>
    <w:p w14:paraId="5D35E716" w14:textId="77777777" w:rsidR="008B13A2" w:rsidRPr="008B13A2" w:rsidRDefault="008B13A2" w:rsidP="008B13A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B13A2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77EF14CD" w14:textId="77777777" w:rsidR="008B13A2" w:rsidRPr="008B13A2" w:rsidRDefault="008B13A2" w:rsidP="008B13A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B13A2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(Uerj simulado </w:t>
      </w:r>
      <w:proofErr w:type="gramStart"/>
      <w:r w:rsidRPr="008B13A2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2018 )</w:t>
      </w:r>
      <w:proofErr w:type="gramEnd"/>
      <w:r w:rsidRPr="008B13A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“Direitos Humanos” é uma daquelas expressões que, por sua amplitude, tem sido usada de várias maneiras e a serviço de diversas ideologias. Cada um que queira definir quais são os direitos, cada qual que queira estabelecer seu padrão do “humano”.</w:t>
      </w:r>
    </w:p>
    <w:p w14:paraId="29FDE633" w14:textId="77777777" w:rsidR="008B13A2" w:rsidRPr="008B13A2" w:rsidRDefault="008B13A2" w:rsidP="008B13A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B13A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No Brasil, por exemplo, a mídia relaciona a dita expressão quase sempre com a questão policial, atribuindo-lhe um sentido negativo de estímulo à impunidade. Essa imagem, além de reducionista, por desprezar outras dimensões como a dos Direitos Econômicos, Sociais e Culturais (</w:t>
      </w:r>
      <w:proofErr w:type="spellStart"/>
      <w:r w:rsidRPr="008B13A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DESCs</w:t>
      </w:r>
      <w:proofErr w:type="spellEnd"/>
      <w:r w:rsidRPr="008B13A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) e a dos Direitos de Solidariedade, é também falsa. No particular da luta contra a tortura, o que se defende não é o “criminoso”, mas a pessoa, independentemente de quem seja e de que título carregue: assassino, estuprador, menor infrator, policial, governador…</w:t>
      </w:r>
    </w:p>
    <w:p w14:paraId="0C74F165" w14:textId="77777777" w:rsidR="008B13A2" w:rsidRPr="008B13A2" w:rsidRDefault="008B13A2" w:rsidP="008B13A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B13A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Não se milita pela impunidade, mas pelo respeito às garantias mínimas estabelecidas em nossa Constituição, por um sistema prisional mais ressocializador, por uma polícia que transmita menos medo e mais segurança. Luta-se também contra a impunidade daqueles que se julgam acima da lei.</w:t>
      </w:r>
      <w:r w:rsidRPr="008B13A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Adaptado de </w:t>
      </w:r>
      <w:hyperlink r:id="rId4" w:tgtFrame="_blank" w:history="1">
        <w:r w:rsidRPr="008B13A2">
          <w:rPr>
            <w:rFonts w:ascii="InterUI" w:eastAsia="Times New Roman" w:hAnsi="InterUI" w:cs="Times New Roman"/>
            <w:color w:val="00C974"/>
            <w:spacing w:val="-12"/>
            <w:sz w:val="30"/>
            <w:szCs w:val="30"/>
            <w:u w:val="single"/>
            <w:lang w:eastAsia="pt-BR"/>
          </w:rPr>
          <w:t>fundacaomargaridaalves.org.br</w:t>
        </w:r>
      </w:hyperlink>
      <w:r w:rsidRPr="008B13A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, 06/09/2006.</w:t>
      </w:r>
    </w:p>
    <w:p w14:paraId="7D5D7260" w14:textId="77777777" w:rsidR="008B13A2" w:rsidRPr="008B13A2" w:rsidRDefault="008B13A2" w:rsidP="008B13A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B13A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expressão analisada no texto tem como fundamento o seguinte princípio iluminista:</w:t>
      </w:r>
    </w:p>
    <w:p w14:paraId="530CB7CA" w14:textId="7F3C5FD5" w:rsidR="00B8379C" w:rsidRDefault="00062E83" w:rsidP="00C2200B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062E83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Igualdade jurídica</w:t>
      </w:r>
    </w:p>
    <w:p w14:paraId="508E3856" w14:textId="77777777" w:rsidR="00943722" w:rsidRDefault="00943722" w:rsidP="00943722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B141B26" w14:textId="77777777" w:rsidR="00943722" w:rsidRDefault="00943722" w:rsidP="00943722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O texto, ao defender a noção de Direitos Humanos, valoriza a igualdade de todos perante a lei, independentemente de sua condição ou posição social.</w:t>
      </w:r>
    </w:p>
    <w:p w14:paraId="71E5D79D" w14:textId="77777777" w:rsidR="00943722" w:rsidRPr="00943722" w:rsidRDefault="00943722" w:rsidP="0094372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43722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198DA71C" w14:textId="5C921B00" w:rsidR="00943722" w:rsidRDefault="00943722" w:rsidP="0094372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43722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Estão previstos na Declaração Universal dos Direitos Humanos a observância e o respeito aos seguintes direitos, exceto:</w:t>
      </w:r>
    </w:p>
    <w:p w14:paraId="6C22B3A0" w14:textId="1C4F1611" w:rsidR="00956B19" w:rsidRDefault="00956B19" w:rsidP="00943722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956B19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Todos os direitos anteriormente listados, ainda que contrariem os objetivos e princípios das Nações Unidas</w:t>
      </w:r>
    </w:p>
    <w:p w14:paraId="0718AB02" w14:textId="77777777" w:rsidR="00894B61" w:rsidRDefault="00894B61" w:rsidP="00894B61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8651A2E" w14:textId="7376FE4E" w:rsidR="00894B61" w:rsidRDefault="00894B61" w:rsidP="00894B6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A alternativa e) está incorreta porque o artigo XXIX da Declaração Universal dos Direitos Humanos deixa claro que todos os direitos e liberdades </w:t>
      </w: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previstos no documento “não podem, em hipótese alguma, ser exercidos contrariamente aos propósitos e princípios das Nações Unidas.”</w:t>
      </w:r>
    </w:p>
    <w:p w14:paraId="3706E920" w14:textId="77777777" w:rsidR="00270496" w:rsidRDefault="00270496" w:rsidP="00894B6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27BD4EAE" w14:textId="77777777" w:rsidR="00270496" w:rsidRDefault="00270496" w:rsidP="00270496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24802382" w14:textId="77777777" w:rsidR="00270496" w:rsidRDefault="00270496" w:rsidP="00270496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O conceito cidadania tem raiz etimológica na palavra cidade. Destaca-se que este conceito é diretamente vinculado ao desenvolvimento de uma noção de pertencimento de um indivíduo a um grupo, ou comunidade politicamente articulada, que lhe concede um conjunto de direitos e de obrigações, sob vigência de uma lei (ex. uma Constituição). Cite a legislação máxima do Brasil e cite dois direitos presentes nesta legislação.</w:t>
      </w:r>
    </w:p>
    <w:p w14:paraId="210E3C4E" w14:textId="77777777" w:rsidR="00894B61" w:rsidRPr="00943722" w:rsidRDefault="00894B61" w:rsidP="00943722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</w:p>
    <w:p w14:paraId="4A357C11" w14:textId="77777777" w:rsidR="00062E83" w:rsidRPr="00C2200B" w:rsidRDefault="00062E83" w:rsidP="00C2200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5CCCA8C9" w14:textId="77777777" w:rsidR="002020C6" w:rsidRPr="0019714B" w:rsidRDefault="002020C6" w:rsidP="0019714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4D84D974" w14:textId="77777777" w:rsidR="0019714B" w:rsidRPr="00844AFE" w:rsidRDefault="0019714B" w:rsidP="00844AF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32CD05B4" w14:textId="77777777" w:rsidR="00844AFE" w:rsidRPr="00844AFE" w:rsidRDefault="00844AFE"/>
    <w:sectPr w:rsidR="00844AFE" w:rsidRPr="00844AFE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AC"/>
    <w:rsid w:val="00062E83"/>
    <w:rsid w:val="0019714B"/>
    <w:rsid w:val="002020C6"/>
    <w:rsid w:val="00255BBD"/>
    <w:rsid w:val="00270496"/>
    <w:rsid w:val="002D0EE8"/>
    <w:rsid w:val="002F3D69"/>
    <w:rsid w:val="00596591"/>
    <w:rsid w:val="005C1AAC"/>
    <w:rsid w:val="00844AFE"/>
    <w:rsid w:val="00894B61"/>
    <w:rsid w:val="008B13A2"/>
    <w:rsid w:val="00943722"/>
    <w:rsid w:val="00956B19"/>
    <w:rsid w:val="00B0104C"/>
    <w:rsid w:val="00B8379C"/>
    <w:rsid w:val="00BE400E"/>
    <w:rsid w:val="00C2200B"/>
    <w:rsid w:val="00CD7845"/>
    <w:rsid w:val="00D679A0"/>
    <w:rsid w:val="00F7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5D82"/>
  <w15:chartTrackingRefBased/>
  <w15:docId w15:val="{11CC34DE-6815-46EB-BCEB-CE6C128A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44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4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4AF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2200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B1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undacaomargaridaalves.org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760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18</cp:revision>
  <dcterms:created xsi:type="dcterms:W3CDTF">2021-11-15T08:33:00Z</dcterms:created>
  <dcterms:modified xsi:type="dcterms:W3CDTF">2021-11-15T10:08:00Z</dcterms:modified>
</cp:coreProperties>
</file>