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rgrafodaLista"/>
        <w:keepNext/>
        <w:numPr>
          <w:ilvl w:val="0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ARQUITETURA DO SISTEMA</w:t>
      </w:r>
    </w:p>
    <w:p>
      <w:pPr>
        <w:pStyle w:val="PargrafodaLista"/>
        <w:keepNext/>
        <w:numPr>
          <w:ilvl w:val="1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Extração automatizada dos dados (Web Scraping)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extração é a primeira camada do pipeline e é responsável por obter, diariamente e sem intervenção humana, os preços praticados pelas lojas virtuais KaBuM!, Pichau, Terabyte e Amazon para um conjunto definido de produtos de hardware. O resultado de cada execução é a tabela única do dia, arquivo que serve de entrada para a carga no modelo dimensional (método </w:t>
      </w:r>
      <w:r>
        <w:rPr>
          <w:rFonts w:ascii="Arial" w:hAnsi="Arial" w:cs="Arial"/>
          <w:i/>
          <w:iCs/>
          <w:szCs w:val="24"/>
          <w:lang w:val="pt-BR"/>
        </w:rPr>
        <w:t xml:space="preserve">salvar_tabela_unica()</w:t>
      </w:r>
      <w:r>
        <w:rPr>
          <w:rFonts w:ascii="Arial" w:hAnsi="Arial" w:cs="Arial"/>
          <w:szCs w:val="24"/>
          <w:lang w:val="pt-BR"/>
        </w:rPr>
        <w:t xml:space="preserve"> da classe </w:t>
      </w:r>
      <w:r>
        <w:rPr>
          <w:rFonts w:ascii="Arial" w:hAnsi="Arial" w:cs="Arial"/>
          <w:i/>
          <w:iCs/>
          <w:szCs w:val="24"/>
          <w:lang w:val="pt-BR"/>
        </w:rPr>
        <w:t xml:space="preserve">ScriptExtracao</w:t>
      </w:r>
      <w:r>
        <w:rPr>
          <w:rFonts w:ascii="Arial" w:hAnsi="Arial" w:cs="Arial"/>
          <w:szCs w:val="24"/>
          <w:lang w:val="pt-BR"/>
        </w:rPr>
        <w:t xml:space="preserve">, no diagrama de classes). Esta etapa atende ao requisito funcional RF01, ao caso de uso UC01 e aos requisitos não funcionais RNF01, RNF03 e RNF10. A técnica empregada é a raspagem de dados (</w:t>
      </w:r>
      <w:r>
        <w:rPr>
          <w:rFonts w:ascii="Arial" w:hAnsi="Arial" w:cs="Arial"/>
          <w:i/>
          <w:iCs/>
          <w:szCs w:val="24"/>
          <w:lang w:val="pt-BR"/>
        </w:rPr>
        <w:t xml:space="preserve">web scraping</w:t>
      </w:r>
      <w:r>
        <w:rPr>
          <w:rFonts w:ascii="Arial" w:hAnsi="Arial" w:cs="Arial"/>
          <w:szCs w:val="24"/>
          <w:lang w:val="pt-BR"/>
        </w:rPr>
        <w:t xml:space="preserve">), que consiste em obter de forma automatizada informações publicadas em páginas web ou nas interfaces de programação que as alimentam (MITCHELL, 2018).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O desenvolvimento seguiu três princípios. O primeiro é o respeito às regras de acesso de cada loja: a coleta utiliza apenas endereços permitidos pelo arquivo robots.txt (KOSTER et al., 2022), mantém intervalos entre as requisições e não emprega técnicas para contornar mecanismos anti-bot. O segundo é a comparabilidade: como cada loja descreve o mesmo produto de forma diferente, os anúncios são associados a um catálogo comum de produtos, o que permite comparar as lojas (RF10) e acompanhar o histórico de preços (RF08). O terceiro é a resiliência: falhas e bloqueios em uma loja não interrompem as demais, e todas as ocorrências são registradas (RNF03). A Figura 3 resume o fluxo de uma execução.</w:t>
      </w:r>
    </w:p>
    <w:p>
      <w:pPr>
        <w:keepNext/>
        <w:spacing w:line="240" w:lineRule="auto" w:before="240" w:after="12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Figura 3 – Fluxo da extração automatizada dos dados</w:t>
      </w:r>
    </w:p>
    <w:p>
      <w:pPr>
        <w:keepNext/>
        <w:spacing w:after="0" w:line="240" w:lineRule="auto"/>
        <w:jc w:val="center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drawing>
          <wp:inline xmlns:wp="http://schemas.openxmlformats.org/drawingml/2006/wordprocessingDrawing" distT="0" distB="0" distL="0" distR="0">
            <wp:extent cx="5760000" cy="4114285"/>
            <wp:effectExtent l="0" t="0" r="0" b="0"/>
            <wp:docPr id="301" name="Figura 3" descr="Fluxo da extração: agendador, catálogo, coleta nas quatro lojas, correspondência, tabela única e tratamento de bloque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fluxo_extracao.png"/>
                    <pic:cNvPicPr/>
                  </pic:nvPicPr>
                  <pic:blipFill>
                    <a:blip xmlns:r="http://schemas.openxmlformats.org/officeDocument/2006/relationships" r:embed="rIdFigExtracao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24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 (2026).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Tecnologias empregadas na extração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O Quadro 1 apresenta as tecnologias utilizadas na extração e a justificativa de cada uma no contexto do projeto.</w:t>
      </w:r>
    </w:p>
    <w:p>
      <w:pPr>
        <w:keepNext/>
        <w:spacing w:line="240" w:lineRule="auto" w:before="240" w:after="12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Quadro 1 – Tecnologias empregadas na extração</w:t>
      </w:r>
    </w:p>
    <w:tbl>
      <w:tblPr>
        <w:tblStyle w:val="Tabelacomgrade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100"/>
        <w:gridCol w:w="4000"/>
      </w:tblGrid>
      <w:tr>
        <w:trPr>
          <w:tblHeader/>
          <w:jc w:val="center"/>
        </w:trPr>
        <w:tc>
          <w:tcPr>
            <w:tcW w:w="23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Tecnologia</w:t>
            </w:r>
          </w:p>
        </w:tc>
        <w:tc>
          <w:tcPr>
            <w:tcW w:w="31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Uso</w:t>
            </w:r>
          </w:p>
        </w:tc>
        <w:tc>
          <w:tcPr>
            <w:tcW w:w="40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Justificativa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Python 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Linguagem de todos os scripts</w:t>
            </w:r>
          </w:p>
        </w:tc>
        <w:tc>
          <w:tcPr>
            <w:tcW w:w="40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Mesma linguagem da carga e do tratamento, o que simplifica a integração do pipeline.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Requests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Consultas à API de catálogo da KaBuM!</w:t>
            </w:r>
          </w:p>
        </w:tc>
        <w:tc>
          <w:tcPr>
            <w:tcW w:w="40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Requisições HTTP diretas e rápidas, sem navegador, quando a loja disponibiliza os dados em JSON (REQUESTS, 2026).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Selenium WebDriver com Google Chrome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Abertura das páginas da Amazon, da Pichau e da Terabyte</w:t>
            </w:r>
          </w:p>
        </w:tc>
        <w:tc>
          <w:tcPr>
            <w:tcW w:w="40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Essas páginas são montadas com JavaScript e recusam requisições HTTP simples; o navegador padrão carrega a página como um usuário comum (SELENIUM, 2026).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Beautiful Soup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Leitura do HTML das páginas de busca e de categoria</w:t>
            </w:r>
          </w:p>
        </w:tc>
        <w:tc>
          <w:tcPr>
            <w:tcW w:w="40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Localiza, por seletores, o título, o preço e o link de cada anúncio (RICHARDSON, 2026).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pandas e openpyxl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Montagem e gravação da tabela única</w:t>
            </w:r>
          </w:p>
        </w:tc>
        <w:tc>
          <w:tcPr>
            <w:tcW w:w="40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Padronizam a saída em CSV e Excel, independentemente da loja de origem.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Agendador de Tarefas do Windows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Disparo diário da coleta</w:t>
            </w:r>
          </w:p>
        </w:tc>
        <w:tc>
          <w:tcPr>
            <w:tcW w:w="40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Executa o pipeline sem intervenção humana, inclusive quando o computador estava desligado no horário previsto (MICROSOFT, 2026).</w:t>
            </w:r>
          </w:p>
        </w:tc>
      </w:tr>
    </w:tbl>
    <w:p>
      <w:pPr>
        <w:spacing w:line="240" w:lineRule="auto" w:before="60" w:after="24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 (2026).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Fontes de dados e estratégia de acesso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Antes da implementação, cada loja foi analisada quanto à forma de disponibilização dos dados, às regras do seu arquivo robots.txt e à reação a acessos automatizados. O Quadro 2 resume a estratégia adotada.</w:t>
      </w:r>
    </w:p>
    <w:p>
      <w:pPr>
        <w:keepNext/>
        <w:spacing w:line="240" w:lineRule="auto" w:before="240" w:after="12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Quadro 2 – Estratégia de acesso por loja</w:t>
      </w:r>
    </w:p>
    <w:tbl>
      <w:tblPr>
        <w:tblStyle w:val="Tabelacomgrade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2500"/>
        <w:gridCol w:w="2300"/>
      </w:tblGrid>
      <w:tr>
        <w:trPr>
          <w:tblHeader/>
          <w:jc w:val="center"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Loja</w:t>
            </w:r>
          </w:p>
        </w:tc>
        <w:tc>
          <w:tcPr>
            <w:tcW w:w="31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Forma de acesso</w:t>
            </w:r>
          </w:p>
        </w:tc>
        <w:tc>
          <w:tcPr>
            <w:tcW w:w="25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Volume por execução</w:t>
            </w:r>
          </w:p>
        </w:tc>
        <w:tc>
          <w:tcPr>
            <w:tcW w:w="23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Preço considerado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KaBuM!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API pública de catálogo, com resposta em JSON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Uma busca por produto do catálogo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Preço com desconto à vista; oferta relâmpago apenas quando vigente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Amazon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Página de busca, aberta no Chrome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Uma busca por produto do catálogo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Preço atual exibido no resultado da busca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Pichau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Página de categoria, aberta no Chrome, com os dados do catálogo embutidos na página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Uma página de categoria (36 primeiros produtos)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Preço à vista no PIX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Terabyte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Página de categoria, aberta no Chrome, com o botão “ver mais produtos” da própria página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Uma página de categoria</w:t>
            </w:r>
          </w:p>
        </w:tc>
        <w:tc>
          <w:tcPr>
            <w:tcW w:w="2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Preço à vista no PIX</w:t>
            </w:r>
          </w:p>
        </w:tc>
      </w:tr>
    </w:tbl>
    <w:p>
      <w:pPr>
        <w:spacing w:line="240" w:lineRule="auto" w:before="60" w:after="24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 (2026).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Na KaBuM!, os dados são obtidos diretamente da interface de programação (API) de catálogo da loja, que responde em formato JSON e dispensa o navegador. Cada resposta traz o título do anúncio, o preço normal, o preço com desconto à vista, a disponibilidade em estoque e, quando existe, uma oferta relâmpago com início e fim de vigência; o preço da oferta só é considerado dentro desse período.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Na Amazon, a página de busca é permitida pelo robots.txt da loja, mas respondeu a requisições HTTP simples com o erro 503. Por isso, ela é aberta no navegador. De cada resultado são extraídos o identificador do produto (ASIN), o título e o preço atual, descartando-se o preço riscado de referência; o link gravado é a forma canônica amazon.com.br/dp/ASIN.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Na Pichau, o robots.txt proíbe a rota /api/ e qualquer endereço com parâmetros de consulta, o que exclui a busca do site. A coleta usa, portanto, as páginas de categoria, sem parâmetros. Essas páginas trazem embutidos os dados de catálogo de cada produto, como nome, endereço, preço à vista no PIX, preço a prazo, situação do estoque e indicação de produto de vitrine (</w:t>
      </w:r>
      <w:r>
        <w:rPr>
          <w:rFonts w:ascii="Arial" w:hAnsi="Arial" w:cs="Arial"/>
          <w:i/>
          <w:iCs/>
          <w:szCs w:val="24"/>
          <w:lang w:val="pt-BR"/>
        </w:rPr>
        <w:t xml:space="preserve">open box</w:t>
      </w:r>
      <w:r>
        <w:rPr>
          <w:rFonts w:ascii="Arial" w:hAnsi="Arial" w:cs="Arial"/>
          <w:szCs w:val="24"/>
          <w:lang w:val="pt-BR"/>
        </w:rPr>
        <w:t xml:space="preserve">), que é descartado.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Na Terabyte, a página de categoria lista os produtos em cartões com título, link, preço à vista no PIX, parcelamento e marcação de esgotado. Quando a página exibe o botão “ver mais produtos”, o coletor o aciona, com pausas, até que a lista pare de crescer.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Tratamento de bloqueios e conformidade de acesso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Pichau e a Terabyte utilizam proteção anti-bot do Cloudflare. Requisições HTTP simples recebem uma página de desafio (HTTP 403) nas páginas do site, e o navegador sem interface gráfica (</w:t>
      </w:r>
      <w:r>
        <w:rPr>
          <w:rFonts w:ascii="Arial" w:hAnsi="Arial" w:cs="Arial"/>
          <w:i/>
          <w:iCs/>
          <w:szCs w:val="24"/>
          <w:lang w:val="pt-BR"/>
        </w:rPr>
        <w:t xml:space="preserve">headless</w:t>
      </w:r>
      <w:r>
        <w:rPr>
          <w:rFonts w:ascii="Arial" w:hAnsi="Arial" w:cs="Arial"/>
          <w:szCs w:val="24"/>
          <w:lang w:val="pt-BR"/>
        </w:rPr>
        <w:t xml:space="preserve">) também fica retido no desafio. Já o Chrome padrão, em modo normal, tem a primeira página de cada visita liberada, mas as páginas seguintes da mesma visita são bloqueadas. Testes com intervalos de 20 segundos e de 3 minutos entre as páginas tiveram o mesmo resultado, o que indica que o bloqueio decorre da identificação da sessão automatizada, e não do excesso de requisições.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Diante desse comportamento, optou-se por não contornar a proteção. A especificação inicial previa a biblioteca undetected-chromedriver para evadir bloqueios; essa abordagem foi descartada, assim como qualquer forma de disfarçar o navegador automatizado, resolver CAPTCHAs ou abrir novas sessões para escapar do bloqueio, por desrespeitar a política de acesso definida pelas próprias lojas (MITCHELL, 2018). Em vez disso, cada execução visita uma única página de categoria em cada uma dessas lojas e alterna a categoria a cada dia, escolhendo a que foi visitada há mais tempo. Dessa forma, todas as categorias são atualizadas periodicamente sem exceder o acesso que a loja permite.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Para detectar bloqueios, o coletor verifica o título e o conteúdo de cada página recebida, procurando sinais de desafio ou de bloqueio, como “Just a moment”, “Um momento”, “Site em Manutenção”, “Algo deu errado” e formulários de CAPTCHA. Quando um bloqueio é identificado, a coleta daquela loja é interrompida sem nenhuma interação com a página, a ocorrência é registrada com a situação BLOQUEADO e o pipeline segue com as demais lojas, conforme o RNF03.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O coletor também aguarda de 6 a 12 segundos entre as buscas na Amazon e de 1,5 a 3 segundos entre as consultas à API da KaBuM!. Falhas temporárias de rede e erros do servidor (HTTP 5xx) são repetidos até três vezes, com espera crescente; já as respostas HTTP 403 e 429, que indicam recusa, não são repetidas.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Em relação à Lei Geral de Proteção de Dados Pessoais (BRASIL, 2018) e ao RNF10, a extração coleta apenas dados públicos de mercado (nome do produto, preço e endereço do anúncio). Ela não realiza login, não acessa áreas restritas e não coleta avaliações, nomes de usuários ou qualquer outro dado pessoal.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Catálogo de produtos e correspondência de anúncios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Para que o preço de um mesmo produto possa ser comparado entre lojas e acompanhado ao longo do tempo, a extração parte de um catálogo de produtos monitorados, mantido em uma planilha editável (catalogo_produtos.xlsx). Na versão atual, o catálogo tem 21 produtos em seis categorias: processadores, placas de vídeo, memórias RAM, SSDs, placas-mãe e fontes. Cada produto tem um nome padronizado, que é o valor gravado em nome_produto, um termo de busca, uma lista de termos obrigatórios, uma lista de termos proibidos e um preço mínimo.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correspondência entre o título do anúncio e o produto do catálogo é feita por regras determinísticas. O título e os termos são normalizados (letras minúsculas, sem acentos e sem pontuação), e cada termo só é aceito como palavra inteira. Entre número e unidade o espaço é opcional, de modo que “16gb” corresponde a “16 GB”, e é possível indicar alternativas, como “3200mhz|3200”. Um anúncio é aceito quando contém todos os termos obrigatórios, nenhum termo proibido e preço igual ou superior ao mínimo. Além dos termos de cada produto, há uma lista de exclusão global para computadores montados, notebooks, kits, combos e produtos usados, recondicionados ou de vitrine. Entre os anúncios aceitos e disponíveis em estoque, registra-se o de menor preço, o que gera uma linha por produto, loja e execução. O Quadro 3 ilustra a aplicação dessas regras com anúncios reais coletados.</w:t>
      </w:r>
    </w:p>
    <w:p>
      <w:pPr>
        <w:keepNext/>
        <w:spacing w:line="240" w:lineRule="auto" w:before="240" w:after="12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Quadro 3 – Exemplos de aplicação das regras de correspondência</w:t>
      </w:r>
    </w:p>
    <w:tbl>
      <w:tblPr>
        <w:tblStyle w:val="Tabelacomgrade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300"/>
        <w:gridCol w:w="2600"/>
      </w:tblGrid>
      <w:tr>
        <w:trPr>
          <w:tblHeader/>
          <w:jc w:val="center"/>
        </w:trPr>
        <w:tc>
          <w:tcPr>
            <w:tcW w:w="25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Produto do catálogo</w:t>
            </w:r>
          </w:p>
        </w:tc>
        <w:tc>
          <w:tcPr>
            <w:tcW w:w="43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Título do anúncio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Resultado</w:t>
            </w:r>
          </w:p>
        </w:tc>
      </w:tr>
      <w:tr>
        <w:trPr>
          <w:cantSplit/>
          <w:jc w:val="center"/>
        </w:trPr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Processador AMD Ryzen 5 5600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Processador AMD Ryzen 5 5600, 3.5GHz (4.4GHz Turbo), AM4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Aceito</w:t>
            </w:r>
          </w:p>
        </w:tc>
      </w:tr>
      <w:tr>
        <w:trPr>
          <w:cantSplit/>
          <w:jc w:val="center"/>
        </w:trPr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Processador AMD Ryzen 5 5600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AMD Processador para desktop Ryzen 5 5600X 3.7GHz 6-Core AM4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Rejeitado: outro modelo (“5600X” não é a palavra “5600”)</w:t>
            </w:r>
          </w:p>
        </w:tc>
      </w:tr>
      <w:tr>
        <w:trPr>
          <w:cantSplit/>
          <w:jc w:val="center"/>
        </w:trPr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Processador AMD Ryzen 5 7600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Processador AMD Ryzen 5 7600X3D, 6-Core, 12-Threads, 4.1GHz, AM5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Rejeitado: outro modelo</w:t>
            </w:r>
          </w:p>
        </w:tc>
      </w:tr>
      <w:tr>
        <w:trPr>
          <w:cantSplit/>
          <w:jc w:val="center"/>
        </w:trPr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Memória Kingston Fury Beast 16GB DDR4 3200MHz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Memória DDR4 Kingston Fury Beast, 16GB (2x8GB), 3200Mhz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Rejeitado: kit com dois módulos</w:t>
            </w:r>
          </w:p>
        </w:tc>
      </w:tr>
      <w:tr>
        <w:trPr>
          <w:cantSplit/>
          <w:jc w:val="center"/>
        </w:trPr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Placa de Vídeo GeForce RTX 5060 8GB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Placa de Vídeo Gigabyte RTX 5060 EAGLE MAX OC + Fonte MSI MAG A650BN, 650W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Rejeitado: combo com fonte</w:t>
            </w:r>
          </w:p>
        </w:tc>
      </w:tr>
      <w:tr>
        <w:trPr>
          <w:cantSplit/>
          <w:jc w:val="center"/>
        </w:trPr>
        <w:tc>
          <w:tcPr>
            <w:tcW w:w="25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Processador Intel Core i5-14400F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PC Home Core i5-14400F H610 DDR4 GT 730 4GB Windows 11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Rejeitado: computador montado</w:t>
            </w:r>
          </w:p>
        </w:tc>
      </w:tr>
    </w:tbl>
    <w:p>
      <w:pPr>
        <w:spacing w:line="240" w:lineRule="auto" w:before="60" w:after="24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 (2026).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Essa abordagem tem duas consequências metodológicas. Nas placas de vídeo, o produto do catálogo é o modelo do chip gráfico (por exemplo, RTX 5060 8GB), e a oferta registrada é a mais barata entre os fabricantes de placa disponíveis na loja. Nas lojas com marketplace, como a Amazon e a KaBuM!, a oferta pode ser de um vendedor parceiro.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precisão das regras foi verificada manualmente sobre todos os registros aceitos entre 12 e 18 de outubro de 2026: dos 329 registros da tabela única, 325 correspondiam ao produto correto (98,8%). Os quatro incorretos eram anúncios da Amazon de um computador montado e de um kit de processador com placa-mãe, que motivaram a inclusão de novos termos na lista de exclusão global e passaram a ser rejeitados. Os três que chegaram ao banco de dados tinham preço cerca de 3,6 vezes superior à média histórica e já haviam sido marcados como outlier pelo tratamento, o que evidencia a complementaridade entre as duas etapas.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Saída da extração: tabela única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Ao final da coleta de cada loja, os registros são acrescentados à tabela única do dia, gravada nos formatos CSV e Excel com o nome coleta_AAAA-MM-DD, conforme o UC01. A gravação ocorre loja a loja, e não apenas ao fim da execução; assim, se a execução for interrompida, o que já foi coletado é preservado e aproveitado pela carga seguinte. O CSV usa codificação UTF-8, separador vírgula, ponto decimal e data no padrão AAAA-MM-DD HH:MM:SS, para ser lido diretamente pelos scripts de carga. O Quadro 4 apresenta as colunas da tabela, que usam os mesmos nomes do modelo dimensional e podem ser distribuídas pela carga entre as tabelas produto, loja e oferta.</w:t>
      </w:r>
    </w:p>
    <w:p>
      <w:pPr>
        <w:keepNext/>
        <w:spacing w:line="240" w:lineRule="auto" w:before="240" w:after="12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Quadro 4 – Colunas da tabela única gerada pela extração</w:t>
      </w:r>
    </w:p>
    <w:tbl>
      <w:tblPr>
        <w:tblStyle w:val="Tabelacomgrade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00"/>
        <w:gridCol w:w="1700"/>
        <w:gridCol w:w="3900"/>
      </w:tblGrid>
      <w:tr>
        <w:trPr>
          <w:tblHeader/>
          <w:jc w:val="center"/>
        </w:trPr>
        <w:tc>
          <w:tcPr>
            <w:tcW w:w="24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Coluna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Destino no modelo</w:t>
            </w:r>
          </w:p>
        </w:tc>
        <w:tc>
          <w:tcPr>
            <w:tcW w:w="390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Descrição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data_coleta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TIMESTAMP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oferta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Momento em que o preço foi lido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nome_loja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STRING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loja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Nome da loja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url_base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STRING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loja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Endereço principal da loja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nome_produto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STRING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produto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Nome padronizado do catálogo, igual em todas as lojas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categoria_produto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STRING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produto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Categoria do produto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preco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FLOAT64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oferta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Preço à vista, em reais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url_oferta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STRING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oferta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Link direto para o anúncio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titulo_anuncio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STRING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complementar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Título original do anúncio, mantido para auditoria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preco_prazo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FLOAT64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complementar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Preço parcelado, quando informado pela loja</w:t>
            </w:r>
          </w:p>
        </w:tc>
      </w:tr>
    </w:tbl>
    <w:p>
      <w:pPr>
        <w:spacing w:line="240" w:lineRule="auto" w:before="60" w:after="24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 (2026).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tabela não contém a marca do produto, os identificadores nem as colunas analíticas (preco_medio_historico, outlier e situacao_compra), que são atribuídos pela carga e pelo tratamento. Produtos não encontrados ou sem estoque não geram linha; eles são listados no registro de execuções, com a respectiva loja e categoria. Se a coleta for executada mais de uma vez no mesmo dia, as novas linhas são acrescentadas ao mesmo arquivo, e cabe à carga, que verifica a existência prévia de cada registro, manter uma única oferta por produto, loja e dia.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Agendamento, execução e monitoramento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execução diária é disparada pelo Agendador de Tarefas do Windows às 3 horas, em atendimento ao RNF01. A tarefa foi configurada para rodar assim que possível quando o computador estiver desligado no horário previsto, para despertá-lo da suspensão e para encerrar a execução após cinco horas. Para impedir duas coletas simultâneas, como uma agendada e outra manual, o programa cria uma trava com o número do processo em execução; se esse processo deixar de existir, como em um encerramento forçado, a trava é descartada na execução seguinte.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Uma execução completa, com as quatro lojas, dura entre 5 e 9 minutos, bem abaixo da janela de cerca de cinco horas prevista no RNF01. O navegador é aberto em modo normal, posicionado fora da área visível da tela; se a janela for fechada durante a coleta, ele é reaberto uma vez e a coleta continua. Cada execução gera um log detalhado, uma linha por loja no registro de execuções (log_execucoes.xlsx), com a situação OK, PARCIAL, SEM_DADOS, BLOQUEADO ou ERRO, e uma notificação na central de avisos do Windows com o resumo da coleta. A última página de categoria lida em cada loja também é guardada para diagnóstico, caso a estrutura do site mude.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arquitetura proposta previa a execução no GitHub Actions. Na versão atual, o agendamento é local, porque os servidores do GitHub Actions não têm tela para o navegador em modo normal; a migração exigiria uma tela virtual (como o Xvfb) e a avaliação de como as lojas tratam acessos vindos de servidores em nuvem.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Resultados da coleta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Entre 12 e 18 de outubro de 2026, a extração foi executada em seis dias; em 14 de outubro o computador permaneceu desligado e não houve coleta. Nesse período, foram registradas no banco 243 ofertas dos 21 produtos do catálogo, distribuídas conforme a Tabela 1.</w:t>
      </w:r>
    </w:p>
    <w:p>
      <w:pPr>
        <w:keepNext/>
        <w:spacing w:line="240" w:lineRule="auto" w:before="240" w:after="12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Tabela 1 – Ofertas registradas por loja e por dia</w:t>
      </w:r>
    </w:p>
    <w:tbl>
      <w:tblPr>
        <w:tblStyle w:val="Tabelacomgrade"/>
        <w:tblW w:w="940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570"/>
        <w:gridCol w:w="1570"/>
        <w:gridCol w:w="1570"/>
        <w:gridCol w:w="1570"/>
        <w:gridCol w:w="1570"/>
      </w:tblGrid>
      <w:tr>
        <w:trPr>
          <w:tblHeader/>
          <w:jc w:val="center"/>
        </w:trPr>
        <w:tc>
          <w:tcPr>
            <w:tcW w:w="155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Dia</w:t>
            </w:r>
          </w:p>
        </w:tc>
        <w:tc>
          <w:tcPr>
            <w:tcW w:w="157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KaBuM!</w:t>
            </w:r>
          </w:p>
        </w:tc>
        <w:tc>
          <w:tcPr>
            <w:tcW w:w="157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Amazon</w:t>
            </w:r>
          </w:p>
        </w:tc>
        <w:tc>
          <w:tcPr>
            <w:tcW w:w="157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Terabyte</w:t>
            </w:r>
          </w:p>
        </w:tc>
        <w:tc>
          <w:tcPr>
            <w:tcW w:w="157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Pichau</w:t>
            </w:r>
          </w:p>
        </w:tc>
        <w:tc>
          <w:tcPr>
            <w:tcW w:w="157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Total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12/10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21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19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54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13/10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21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18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41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15/10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18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43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16/10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17/10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17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42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18/10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17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5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43</w:t>
            </w:r>
          </w:p>
        </w:tc>
      </w:tr>
      <w:tr>
        <w:trPr>
          <w:cantSplit/>
          <w:jc w:val="center"/>
        </w:trPr>
        <w:tc>
          <w:tcPr>
            <w:tcW w:w="155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Total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122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89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23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9</w:t>
            </w:r>
          </w:p>
        </w:tc>
        <w:tc>
          <w:tcPr>
            <w:tcW w:w="1570" w:type="dxa"/>
            <w:vAlign w:val="center"/>
          </w:tcPr>
          <w:p>
            <w:pPr>
              <w:spacing w:before="40" w:after="40" w:line="240" w:lineRule="auto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243</w:t>
            </w:r>
          </w:p>
        </w:tc>
      </w:tr>
    </w:tbl>
    <w:p>
      <w:pPr>
        <w:spacing w:line="240" w:lineRule="auto" w:before="60" w:after="240"/>
        <w:jc w:val="center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 (2026), a partir do banco de dados do projeto.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KaBuM! e a Amazon cobriram quase todo o catálogo, com média de 20,3 produtos por dia na KaBuM! e de 17,8 na Amazon, considerando os dias em que cada loja foi coletada. Em 16 de outubro, a execução automática foi interrompida durante a coleta da Amazon, antes da implementação da gravação loja a loja; naquele dia, apenas a KaBuM! foi coletada novamente. Esse episódio motivou a gravação incremental e o descarte automático de travas abandonadas, descritos nas seções anteriores.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A Pichau e a Terabyte tiveram cobertura menor, como esperado pela estratégia de uma página por execução: cada visita cobre uma categoria e, na Pichau, apenas os 36 primeiros produtos da página, que nem sempre incluem os itens do catálogo. Ainda assim, nas 17 visitas realizadas a essas duas lojas no período, nenhuma primeira página foi bloqueada. A Amazon apresentou um bloqueio, em 18 de outubro, quando a primeira busca retornou a página “Algo deu errado”: a ocorrência foi registrada, a coleta da Amazon foi interrompida e a execução seguinte, cinco minutos depois, coletou 17 produtos normalmente.</w:t>
      </w:r>
    </w:p>
    <w:p>
      <w:pPr>
        <w:pStyle w:val="PargrafodaLista"/>
        <w:keepNext/>
        <w:numPr>
          <w:ilvl w:val="2"/>
          <w:numId w:val="10"/>
        </w:numPr>
        <w:spacing w:before="240" w:line="360" w:lineRule="auto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Limitações e trabalhos futuros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Cobertura da Pichau e da Terabyte. </w:t>
      </w:r>
      <w:r>
        <w:rPr>
          <w:rFonts w:ascii="Arial" w:hAnsi="Arial" w:cs="Arial"/>
          <w:szCs w:val="24"/>
          <w:lang w:val="pt-BR"/>
        </w:rPr>
        <w:t xml:space="preserve">A política de uma página por execução limita a quantidade de produtos coletados nessas lojas. O caminho para ampliar a cobertura sem desrespeitar as regras de acesso é obter os dados por canais oficiais, como feeds de produtos de programas de afiliados ou acordos com as lojas.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Manutenção do catálogo. </w:t>
      </w:r>
      <w:r>
        <w:rPr>
          <w:rFonts w:ascii="Arial" w:hAnsi="Arial" w:cs="Arial"/>
          <w:szCs w:val="24"/>
          <w:lang w:val="pt-BR"/>
        </w:rPr>
        <w:t xml:space="preserve">A inclusão de produtos exige definir os termos de busca e de correspondência. Uma evolução possível é a correspondência pelo código do fabricante (</w:t>
      </w:r>
      <w:r>
        <w:rPr>
          <w:rFonts w:ascii="Arial" w:hAnsi="Arial" w:cs="Arial"/>
          <w:i/>
          <w:iCs/>
          <w:szCs w:val="24"/>
          <w:lang w:val="pt-BR"/>
        </w:rPr>
        <w:t xml:space="preserve">part number</w:t>
      </w:r>
      <w:r>
        <w:rPr>
          <w:rFonts w:ascii="Arial" w:hAnsi="Arial" w:cs="Arial"/>
          <w:szCs w:val="24"/>
          <w:lang w:val="pt-BR"/>
        </w:rPr>
        <w:t xml:space="preserve">) ou pelo código de barras GTIN/EAN, quando disponíveis, ou por similaridade de texto, com revisão humana dos casos duvidosos.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Dependência da estrutura das páginas. </w:t>
      </w:r>
      <w:r>
        <w:rPr>
          <w:rFonts w:ascii="Arial" w:hAnsi="Arial" w:cs="Arial"/>
          <w:szCs w:val="24"/>
          <w:lang w:val="pt-BR"/>
        </w:rPr>
        <w:t xml:space="preserve">Mudanças no layout das lojas podem impedir a leitura dos anúncios. Para reduzir esse risco, a extração guarda a última página lida de cada loja, registra no log quando o conteúdo esperado não aparece e conta com 17 testes automatizados das regras de correspondência, do tratamento e da gravação da tabela única.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Execução local. </w:t>
      </w:r>
      <w:r>
        <w:rPr>
          <w:rFonts w:ascii="Arial" w:hAnsi="Arial" w:cs="Arial"/>
          <w:szCs w:val="24"/>
          <w:lang w:val="pt-BR"/>
        </w:rPr>
        <w:t xml:space="preserve">O agendamento depende de o computador estar ligado e com a sessão do usuário aberta. A migração para um ambiente em nuvem, como o GitHub Actions previsto na arquitetura, é um trabalho futuro.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Nota:</w:t>
      </w:r>
      <w:r>
        <w:rPr>
          <w:rFonts w:ascii="Arial" w:hAnsi="Arial" w:cs="Arial"/>
          <w:szCs w:val="24"/>
          <w:lang w:val="pt-BR"/>
        </w:rPr>
        <w:t xml:space="preserve"> esta seção deve ser inserida no capítulo ARQUITETURA DO SISTEMA, antes da seção “Tratamento e estruturação dos dados”. Ao juntar os documentos, ajuste a numeração da figura, dos quadros e da tabela e atualize o quadro de tecnologias do documento principal: a linha “Coleta de Dados (Web Scraping)” deve indicar Python com Requests e Selenium (Google Chrome padrão), sem técnicas de evasão de bloqueios, e a linha “Processamento Agendado” deve indicar o Agendador de Tarefas do Windows na versão atual. As referências citadas nesta seção estão listadas a seguir e devem ser incorporadas à lista de REFERÊNCIAS do documento final.</w:t>
      </w:r>
    </w:p>
    <w:p>
      <w:pPr>
        <w:spacing w:line="360" w:lineRule="auto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REFERÊNCIAS DESTA SEÇÃO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BRASIL. </w:t>
      </w:r>
      <w:r>
        <w:rPr>
          <w:rFonts w:ascii="Arial" w:hAnsi="Arial" w:cs="Arial"/>
          <w:b/>
          <w:bCs/>
          <w:szCs w:val="24"/>
          <w:lang w:val="pt-BR"/>
        </w:rPr>
        <w:t xml:space="preserve">Lei nº 13.709, de 14 de agosto de 2018</w:t>
      </w:r>
      <w:r>
        <w:rPr>
          <w:rFonts w:ascii="Arial" w:hAnsi="Arial" w:cs="Arial"/>
          <w:szCs w:val="24"/>
          <w:lang w:val="pt-BR"/>
        </w:rPr>
        <w:t xml:space="preserve">. Lei Geral de Proteção de Dados Pessoais (LGPD). Brasília, DF: Presidência da República, 2018. Disponível em: https://www.planalto.gov.br/ccivil_03/_ato2015-2018/2018/lei/l13709.htm. Acesso em: 18 out. 2026.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KOSTER, M.; ILLYES, G.; ZELLER, H.; SASSMAN, L. </w:t>
      </w:r>
      <w:r>
        <w:rPr>
          <w:rFonts w:ascii="Arial" w:hAnsi="Arial" w:cs="Arial"/>
          <w:b/>
          <w:bCs/>
          <w:szCs w:val="24"/>
          <w:lang w:val="pt-BR"/>
        </w:rPr>
        <w:t xml:space="preserve">RFC 9309: Robots Exclusion Protocol</w:t>
      </w:r>
      <w:r>
        <w:rPr>
          <w:rFonts w:ascii="Arial" w:hAnsi="Arial" w:cs="Arial"/>
          <w:szCs w:val="24"/>
          <w:lang w:val="pt-BR"/>
        </w:rPr>
        <w:t xml:space="preserve">. [S. l.]: Internet Engineering Task Force, set. 2022. Disponível em: https://www.rfc-editor.org/rfc/rfc9309. Acesso em: 18 out. 2026.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MICROSOFT. </w:t>
      </w:r>
      <w:r>
        <w:rPr>
          <w:rFonts w:ascii="Arial" w:hAnsi="Arial" w:cs="Arial"/>
          <w:b/>
          <w:bCs/>
          <w:szCs w:val="24"/>
          <w:lang w:val="pt-BR"/>
        </w:rPr>
        <w:t xml:space="preserve">Agendador de Tarefas</w:t>
      </w:r>
      <w:r>
        <w:rPr>
          <w:rFonts w:ascii="Arial" w:hAnsi="Arial" w:cs="Arial"/>
          <w:szCs w:val="24"/>
          <w:lang w:val="pt-BR"/>
        </w:rPr>
        <w:t xml:space="preserve">. Microsoft Learn, 2026. Disponível em: https://learn.microsoft.com/pt-br/windows/win32/taskschd/task-scheduler-start-page. Acesso em: 18 out. 2026.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MITCHELL, Ryan. </w:t>
      </w:r>
      <w:r>
        <w:rPr>
          <w:rFonts w:ascii="Arial" w:hAnsi="Arial" w:cs="Arial"/>
          <w:b/>
          <w:bCs/>
          <w:szCs w:val="24"/>
          <w:lang w:val="pt-BR"/>
        </w:rPr>
        <w:t xml:space="preserve">Web Scraping with Python</w:t>
      </w:r>
      <w:r>
        <w:rPr>
          <w:rFonts w:ascii="Arial" w:hAnsi="Arial" w:cs="Arial"/>
          <w:szCs w:val="24"/>
          <w:lang w:val="pt-BR"/>
        </w:rPr>
        <w:t xml:space="preserve">: collecting more data from the modern web. 2. ed. Sebastopol: O'Reilly Media, 2018.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REQUESTS. </w:t>
      </w:r>
      <w:r>
        <w:rPr>
          <w:rFonts w:ascii="Arial" w:hAnsi="Arial" w:cs="Arial"/>
          <w:b/>
          <w:bCs/>
          <w:szCs w:val="24"/>
          <w:lang w:val="pt-BR"/>
        </w:rPr>
        <w:t xml:space="preserve">Requests: HTTP for Humans</w:t>
      </w:r>
      <w:r>
        <w:rPr>
          <w:rFonts w:ascii="Arial" w:hAnsi="Arial" w:cs="Arial"/>
          <w:szCs w:val="24"/>
          <w:lang w:val="pt-BR"/>
        </w:rPr>
        <w:t xml:space="preserve">. 2026. Disponível em: https://requests.readthedocs.io/. Acesso em: 18 out. 2026.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RICHARDSON, Leonard. </w:t>
      </w:r>
      <w:r>
        <w:rPr>
          <w:rFonts w:ascii="Arial" w:hAnsi="Arial" w:cs="Arial"/>
          <w:b/>
          <w:bCs/>
          <w:szCs w:val="24"/>
          <w:lang w:val="pt-BR"/>
        </w:rPr>
        <w:t xml:space="preserve">Beautiful Soup Documentation</w:t>
      </w:r>
      <w:r>
        <w:rPr>
          <w:rFonts w:ascii="Arial" w:hAnsi="Arial" w:cs="Arial"/>
          <w:szCs w:val="24"/>
          <w:lang w:val="pt-BR"/>
        </w:rPr>
        <w:t xml:space="preserve">. 2026. Disponível em: https://www.crummy.com/software/BeautifulSoup/bs4/doc/. Acesso em: 18 out. 2026.</w:t>
      </w:r>
    </w:p>
    <w:p>
      <w:pPr>
        <w:spacing w:line="240" w:lineRule="auto" w:after="240"/>
        <w:jc w:val="left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 xml:space="preserve">SELENIUM. </w:t>
      </w:r>
      <w:r>
        <w:rPr>
          <w:rFonts w:ascii="Arial" w:hAnsi="Arial" w:cs="Arial"/>
          <w:b/>
          <w:bCs/>
          <w:szCs w:val="24"/>
          <w:lang w:val="pt-BR"/>
        </w:rPr>
        <w:t xml:space="preserve">WebDriver</w:t>
      </w:r>
      <w:r>
        <w:rPr>
          <w:rFonts w:ascii="Arial" w:hAnsi="Arial" w:cs="Arial"/>
          <w:szCs w:val="24"/>
          <w:lang w:val="pt-BR"/>
        </w:rPr>
        <w:t xml:space="preserve">. 2026. Disponível em: https://www.selenium.dev/documentation/webdriver/. Acesso em: 18 out. 2026.</w:t>
      </w:r>
    </w:p>
    <w:sectPr w:rsidR="00206977" w:rsidRPr="00B4580D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871B8"/>
    <w:multiLevelType w:val="multilevel"/>
    <w:tmpl w:val="CFE657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FD76E8"/>
    <w:multiLevelType w:val="hybridMultilevel"/>
    <w:tmpl w:val="BF8C12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0584A"/>
    <w:multiLevelType w:val="hybridMultilevel"/>
    <w:tmpl w:val="D0DAE9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3379D"/>
    <w:multiLevelType w:val="multilevel"/>
    <w:tmpl w:val="971206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D7332AF"/>
    <w:multiLevelType w:val="multilevel"/>
    <w:tmpl w:val="29C6E0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A747C36"/>
    <w:multiLevelType w:val="hybridMultilevel"/>
    <w:tmpl w:val="58EA6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100752">
    <w:abstractNumId w:val="8"/>
  </w:num>
  <w:num w:numId="2" w16cid:durableId="459688668">
    <w:abstractNumId w:val="6"/>
  </w:num>
  <w:num w:numId="3" w16cid:durableId="714280037">
    <w:abstractNumId w:val="5"/>
  </w:num>
  <w:num w:numId="4" w16cid:durableId="1693529180">
    <w:abstractNumId w:val="4"/>
  </w:num>
  <w:num w:numId="5" w16cid:durableId="1103691817">
    <w:abstractNumId w:val="7"/>
  </w:num>
  <w:num w:numId="6" w16cid:durableId="1783919457">
    <w:abstractNumId w:val="3"/>
  </w:num>
  <w:num w:numId="7" w16cid:durableId="922690136">
    <w:abstractNumId w:val="2"/>
  </w:num>
  <w:num w:numId="8" w16cid:durableId="1812870267">
    <w:abstractNumId w:val="1"/>
  </w:num>
  <w:num w:numId="9" w16cid:durableId="592125826">
    <w:abstractNumId w:val="0"/>
  </w:num>
  <w:num w:numId="10" w16cid:durableId="647055872">
    <w:abstractNumId w:val="9"/>
  </w:num>
  <w:num w:numId="11" w16cid:durableId="1463037703">
    <w:abstractNumId w:val="10"/>
  </w:num>
  <w:num w:numId="12" w16cid:durableId="1446540241">
    <w:abstractNumId w:val="11"/>
  </w:num>
  <w:num w:numId="13" w16cid:durableId="563031420">
    <w:abstractNumId w:val="13"/>
  </w:num>
  <w:num w:numId="14" w16cid:durableId="1205563733">
    <w:abstractNumId w:val="14"/>
  </w:num>
  <w:num w:numId="15" w16cid:durableId="895506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977"/>
    <w:rsid w:val="0029639D"/>
    <w:rsid w:val="00326F90"/>
    <w:rsid w:val="0050720B"/>
    <w:rsid w:val="005A6F0E"/>
    <w:rsid w:val="009F0666"/>
    <w:rsid w:val="00AA1D8D"/>
    <w:rsid w:val="00B4580D"/>
    <w:rsid w:val="00B47730"/>
    <w:rsid w:val="00CB0664"/>
    <w:rsid w:val="00D2057E"/>
    <w:rsid w:val="00D33FAA"/>
    <w:rsid w:val="00DC1F0A"/>
    <w:rsid w:val="00E04619"/>
    <w:rsid w:val="00E62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82C5"/>
  <w14:defaultImageDpi w14:val="300"/>
  <w15:docId w15:val="{2190EF4B-C5B7-44C7-83FA-A6D98BF8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FigExtracao" Type="http://schemas.openxmlformats.org/officeDocument/2006/relationships/image" Target="media/fluxo_extraca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2450</Words>
  <Characters>13235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Equipe do projeto</dc:creator>
  <cp:keywords/>
  <dc:description/>
  <cp:lastModifiedBy>Equipe do projeto</cp:lastModifiedBy>
  <cp:revision>2</cp:revision>
  <dcterms:created xsi:type="dcterms:W3CDTF">2026-10-18T17:55:38Z</dcterms:created>
  <dcterms:modified xsi:type="dcterms:W3CDTF">2026-10-18T17:55:38Z</dcterms:modified>
  <cp:category/>
  <dc:title>Extração automatizada dos dados (Web Scraping)</dc:title>
</cp:coreProperties>
</file>