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280"/>
      </w:pPr>
    </w:p>
    <w:p>
      <w:pPr>
        <w:spacing w:before="40" w:after="40"/>
      </w:pPr>
      <w:r>
        <w:rPr>
          <w:rFonts w:ascii="Calibri" w:hAnsi="Calibri" w:eastAsia="Calibri" w:cs="Calibri"/>
          <w:b/>
          <w:bCs/>
          <w:color w:val="00B0C8"/>
          <w:sz w:val="18"/>
          <w:szCs w:val="18"/>
        </w:rPr>
        <w:t xml:space="preserve">A5</w:t>
      </w:r>
    </w:p>
    <w:p>
      <w:pPr>
        <w:pBdr>
          <w:bottom w:val="single" w:color="00B0C8" w:sz="24" w:space="3"/>
        </w:pBdr>
        <w:spacing w:before="0" w:after="0"/>
      </w:pPr>
      <w:r>
        <w:rPr>
          <w:rFonts w:ascii="Calibri" w:hAnsi="Calibri" w:eastAsia="Calibri" w:cs="Calibri"/>
          <w:b/>
          <w:bCs/>
          <w:color w:val="0A1A3C"/>
          <w:sz w:val="52"/>
          <w:szCs w:val="52"/>
        </w:rPr>
        <w:t xml:space="preserve">[Nome do Produto]</w:t>
      </w:r>
    </w:p>
    <w:p>
      <w:pPr>
        <w:spacing w:before="0" w:after="0"/>
      </w:pPr>
    </w:p>
    <w:p>
      <w:pPr>
        <w:spacing w:before="0" w:after="100"/>
      </w:pPr>
      <w:r>
        <w:rPr>
          <w:rFonts w:ascii="Calibri" w:hAnsi="Calibri" w:eastAsia="Calibri" w:cs="Calibri"/>
          <w:color w:val="00B0C8"/>
          <w:sz w:val="32"/>
          <w:szCs w:val="32"/>
        </w:rPr>
        <w:t xml:space="preserve">Sumário executivo · Mercado · Modelo de receita · 9 critérios do board</w:t>
      </w:r>
    </w:p>
    <w:p>
      <w:pPr>
        <w:spacing w:before="0" w:after="200"/>
      </w:pPr>
      <w:r>
        <w:rPr>
          <w:rFonts w:ascii="Calibri" w:hAnsi="Calibri" w:eastAsia="Calibri" w:cs="Calibri"/>
          <w:color w:val="555555"/>
          <w:sz w:val="18"/>
          <w:szCs w:val="18"/>
        </w:rPr>
        <w:t xml:space="preserve">Central IT  ·  Kit GTM 2.0  ·  Uso Interno</w:t>
      </w:r>
    </w:p>
    <w:p>
      <w:pPr>
        <w:spacing w:before="360" w:after="40"/>
      </w:pPr>
      <w:r>
        <w:rPr>
          <w:rFonts w:ascii="Calibri" w:hAnsi="Calibri" w:eastAsia="Calibri" w:cs="Calibri"/>
          <w:b/>
          <w:bCs/>
          <w:color w:val="00B0C8"/>
          <w:sz w:val="20"/>
          <w:szCs w:val="20"/>
        </w:rPr>
        <w:t xml:space="preserve">1.  SOBRE O ARTEFATO</w:t>
      </w:r>
    </w:p>
    <w:p>
      <w:pPr>
        <w:pBdr>
          <w:bottom w:val="single" w:color="00B0C8" w:sz="8" w:space="3"/>
        </w:pBdr>
        <w:spacing w:before="0" w:after="160"/>
      </w:pPr>
      <w:r>
        <w:rPr>
          <w:rFonts w:ascii="Calibri" w:hAnsi="Calibri" w:eastAsia="Calibri" w:cs="Calibri"/>
          <w:b/>
          <w:bCs/>
          <w:color w:val="0A1A3C"/>
          <w:sz w:val="32"/>
          <w:szCs w:val="32"/>
        </w:rPr>
        <w:t xml:space="preserve">Objetivo e dono</w:t>
      </w:r>
    </w:p>
    <w:p>
      <w:pPr>
        <w:spacing w:before="0" w:after="100"/>
        <w:jc w:val="both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Dar ao board a base numérica para decidir investir ou não em levar o [Nome do Produto] ao mercado: quanto custa, quanto retorna, em quanto tempo e com qual risco. Traduz os 9 critérios de decisão do board (Anexo II) num formato padrão e comparável entre todos os produtos do portfólio.</w:t>
      </w:r>
    </w:p>
    <w:p>
      <w:pPr>
        <w:spacing w:before="0" w:after="60"/>
        <w:jc w:val="both"/>
      </w:pPr>
      <w:r>
        <w:rPr>
          <w:rFonts w:ascii="Calibri" w:hAnsi="Calibri" w:eastAsia="Calibri" w:cs="Calibri"/>
          <w:b/>
          <w:bCs/>
          <w:color w:val="0A1A3C"/>
          <w:sz w:val="22"/>
          <w:szCs w:val="22"/>
        </w:rPr>
        <w:t xml:space="preserve">Dono:</w:t>
      </w:r>
      <w:r>
        <w:rPr>
          <w:rFonts w:ascii="Calibri" w:hAnsi="Calibri" w:eastAsia="Calibri" w:cs="Calibri"/>
          <w:color w:val="333333"/>
          <w:sz w:val="22"/>
          <w:szCs w:val="22"/>
        </w:rPr>
        <w:t xml:space="preserve"> Núcleo GTM. O núcleo deve montar e responder pela tese comercial e de mercado. Inputs obrigatórios: Financeiro (COGS, OPEX, sustentação), PO/Produto técnico [Nome do Produto] (CAPEX e escopo), e Núcleo de Inteligência de Mercado (tamanho de mercado, preço de referência, concorrência).</w:t>
      </w:r>
    </w:p>
    <w:p>
      <w:pPr>
        <w:spacing w:before="120" w:after="100"/>
        <w:jc w:val="both"/>
      </w:pPr>
      <w:r>
        <w:rPr>
          <w:rFonts w:ascii="Calibri" w:hAnsi="Calibri" w:eastAsia="Calibri" w:cs="Calibri"/>
          <w:b/>
          <w:bCs/>
          <w:color w:val="333333"/>
          <w:sz w:val="22"/>
          <w:szCs w:val="22"/>
        </w:rPr>
        <w:t xml:space="preserve">Aprovação da Diretoria antes de ir ao board. </w:t>
      </w:r>
      <w:r>
        <w:rPr>
          <w:rFonts w:ascii="Calibri" w:hAnsi="Calibri" w:eastAsia="Calibri" w:cs="Calibri"/>
          <w:color w:val="333333"/>
          <w:sz w:val="22"/>
          <w:szCs w:val="22"/>
        </w:rPr>
        <w:t xml:space="preserve">Vale tanto para produto novo quanto para produto já operacional. O board ainda pode decidir se investe em levá-lo ao mercado.</w:t>
      </w:r>
    </w:p>
    <w:p>
      <w:pPr>
        <w:spacing w:before="0" w:after="80"/>
      </w:pPr>
    </w:p>
    <w:p>
      <w:pPr>
        <w:spacing w:before="360" w:after="40"/>
      </w:pPr>
      <w:r>
        <w:rPr>
          <w:rFonts w:ascii="Calibri" w:hAnsi="Calibri" w:eastAsia="Calibri" w:cs="Calibri"/>
          <w:b/>
          <w:bCs/>
          <w:color w:val="00B0C8"/>
          <w:sz w:val="20"/>
          <w:szCs w:val="20"/>
        </w:rPr>
        <w:t xml:space="preserve">2.  SUMÁRIO EXECUTIVO</w:t>
      </w:r>
    </w:p>
    <w:p>
      <w:pPr>
        <w:pBdr>
          <w:bottom w:val="single" w:color="00B0C8" w:sz="8" w:space="3"/>
        </w:pBdr>
        <w:spacing w:before="0" w:after="160"/>
      </w:pPr>
      <w:r>
        <w:rPr>
          <w:rFonts w:ascii="Calibri" w:hAnsi="Calibri" w:eastAsia="Calibri" w:cs="Calibri"/>
          <w:b/>
          <w:bCs/>
          <w:color w:val="0A1A3C"/>
          <w:sz w:val="32"/>
          <w:szCs w:val="32"/>
        </w:rPr>
        <w:t xml:space="preserve">O que o board precisa decidir</w:t>
      </w:r>
    </w:p>
    <w:tbl>
      <w:tblPr>
        <w:tblW w:w="9360" w:type="dxa"/>
        <w:tblBorders>
          <w:top w:val="single" w:color="00B0C8" w:sz="4"/>
          <w:left w:val="single" w:color="00B0C8" w:sz="4"/>
          <w:bottom w:val="single" w:color="00B0C8" w:sz="4"/>
          <w:right w:val="single" w:color="00B0C8" w:sz="4"/>
          <w:insideH w:val="single" w:color="CCCCCC" w:sz="4"/>
          <w:insideV w:val="single" w:color="CCCCCC" w:sz="4"/>
        </w:tblBorders>
      </w:tblPr>
      <w:tblGrid>
        <w:gridCol w:w="3000"/>
        <w:gridCol w:w="3180"/>
        <w:gridCol w:w="3180"/>
      </w:tblGrid>
      <w:tr>
        <w:tc>
          <w:tcPr>
            <w:tcW w:w="300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318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w="318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CAPEX (desenvolvimento do produto)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R$ [a confirmar com Financeiro]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A confirmar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Payback estimado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[X] meses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Premissa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Breakeven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[X] clientes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Premissa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Retorno esperado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[preencher — ex: ROI 3x em 24 meses / payback X meses]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Premissa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Decisão pedida ao board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Aprovar investimento de GTM e sustentação para escalar [Nome do Produto]. Produto [operacional / em desenvolvimento] com precificação definida ([Tier 1] R$ [X] a [Tier 4] R$ [X]/mês).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80"/>
      </w:pPr>
    </w:p>
    <w:p>
      <w:pPr>
        <w:spacing w:before="360" w:after="40"/>
      </w:pPr>
      <w:r>
        <w:rPr>
          <w:rFonts w:ascii="Calibri" w:hAnsi="Calibri" w:eastAsia="Calibri" w:cs="Calibri"/>
          <w:b/>
          <w:bCs/>
          <w:color w:val="00B0C8"/>
          <w:sz w:val="20"/>
          <w:szCs w:val="20"/>
        </w:rPr>
        <w:t xml:space="preserve">3.  MERCADO E DIMENSIONAMENTO</w:t>
      </w:r>
    </w:p>
    <w:p>
      <w:pPr>
        <w:pBdr>
          <w:bottom w:val="single" w:color="00B0C8" w:sz="8" w:space="3"/>
        </w:pBdr>
        <w:spacing w:before="0" w:after="160"/>
      </w:pPr>
      <w:r>
        <w:rPr>
          <w:rFonts w:ascii="Calibri" w:hAnsi="Calibri" w:eastAsia="Calibri" w:cs="Calibri"/>
          <w:b/>
          <w:bCs/>
          <w:color w:val="0A1A3C"/>
          <w:sz w:val="32"/>
          <w:szCs w:val="32"/>
        </w:rPr>
        <w:t xml:space="preserve">Quem e quantos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ICP (fonte A0): [colar aqui a síntese do ICP validado no A0 — setor, porte, dor primária]. Setores prioritários: [preencher].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Vantagem competitiva estrutural: [preencher — o que nenhum concorrente direto entrega junto]. [validar com Núcleo de Inteligência de Mercado]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Risco de ancoragem de preço: [preencher — existe benchmark direto no Brasil? o cliente tem referência de valor?] [validar com Núcleo de Inteligência de Mercado]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Número realista de contas-alvo (TAM/SAM): [preencher — quantas empresas no ICP são endereçáveis hoje] [validar com Núcleo de Inteligência de Mercado]</w:t>
      </w:r>
    </w:p>
    <w:p>
      <w:pPr>
        <w:spacing w:before="0" w:after="80"/>
      </w:pPr>
    </w:p>
    <w:p>
      <w:pPr>
        <w:spacing w:before="360" w:after="40"/>
      </w:pPr>
      <w:r>
        <w:rPr>
          <w:rFonts w:ascii="Calibri" w:hAnsi="Calibri" w:eastAsia="Calibri" w:cs="Calibri"/>
          <w:b/>
          <w:bCs/>
          <w:color w:val="00B0C8"/>
          <w:sz w:val="20"/>
          <w:szCs w:val="20"/>
        </w:rPr>
        <w:t xml:space="preserve">4.  MODELO DE RECEITA E PROJEÇÃO</w:t>
      </w:r>
    </w:p>
    <w:p>
      <w:pPr>
        <w:pBdr>
          <w:bottom w:val="single" w:color="00B0C8" w:sz="8" w:space="3"/>
        </w:pBdr>
        <w:spacing w:before="0" w:after="160"/>
      </w:pPr>
      <w:r>
        <w:rPr>
          <w:rFonts w:ascii="Calibri" w:hAnsi="Calibri" w:eastAsia="Calibri" w:cs="Calibri"/>
          <w:b/>
          <w:bCs/>
          <w:color w:val="0A1A3C"/>
          <w:sz w:val="32"/>
          <w:szCs w:val="32"/>
        </w:rPr>
        <w:t xml:space="preserve">Tiers, preços e receita anual por cliente</w:t>
      </w:r>
    </w:p>
    <w:tbl>
      <w:tblPr>
        <w:tblW w:w="9360" w:type="dxa"/>
        <w:tblBorders>
          <w:top w:val="single" w:color="00B0C8" w:sz="4"/>
          <w:left w:val="single" w:color="00B0C8" w:sz="4"/>
          <w:bottom w:val="single" w:color="00B0C8" w:sz="4"/>
          <w:right w:val="single" w:color="00B0C8" w:sz="4"/>
          <w:insideH w:val="single" w:color="CCCCCC" w:sz="4"/>
          <w:insideV w:val="single" w:color="CCCCCC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w="240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w="174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Preço/mês</w:t>
            </w:r>
          </w:p>
        </w:tc>
        <w:tc>
          <w:tcPr>
            <w:tcW w:w="174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Mix assumido</w:t>
            </w:r>
          </w:p>
        </w:tc>
        <w:tc>
          <w:tcPr>
            <w:tcW w:w="174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Receita/ano</w:t>
            </w:r>
          </w:p>
        </w:tc>
        <w:tc>
          <w:tcPr>
            <w:tcW w:w="174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w="24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[Tier 1]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R$ [X]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[X]%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R$ [X]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Premissa</w:t>
            </w:r>
          </w:p>
        </w:tc>
      </w:tr>
      <w:tr>
        <w:tc>
          <w:tcPr>
            <w:tcW w:w="24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[Tier 2]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R$ [X]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[X]%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R$ [X]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Premissa</w:t>
            </w:r>
          </w:p>
        </w:tc>
      </w:tr>
      <w:tr>
        <w:tc>
          <w:tcPr>
            <w:tcW w:w="24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[Tier 3]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R$ [X]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[X]%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R$ [X]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Premissa</w:t>
            </w:r>
          </w:p>
        </w:tc>
      </w:tr>
      <w:tr>
        <w:tc>
          <w:tcPr>
            <w:tcW w:w="24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[Tier 4]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R$ [X]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[X]%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R$ [X]</w:t>
            </w:r>
          </w:p>
        </w:tc>
        <w:tc>
          <w:tcPr>
            <w:tcW w:w="17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Premissa</w:t>
            </w:r>
          </w:p>
        </w:tc>
      </w:tr>
    </w:tbl>
    <w:p>
      <w:pPr>
        <w:spacing w:before="0" w:after="60"/>
      </w:pPr>
    </w:p>
    <w:p>
      <w:pPr>
        <w:spacing w:before="0" w:after="100"/>
        <w:jc w:val="both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Preços confirmados na Matriz de Oferta (A2A/A2B) aprovada pelo PO. Mix de planos é premissa a calibrar com o pipeline real — [validar com Comercial].</w:t>
      </w:r>
    </w:p>
    <w:p>
      <w:pPr>
        <w:spacing w:before="0" w:after="100"/>
        <w:jc w:val="both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Natureza da receita: recorrente / assinatura (SaaS) — [confirmar se há componente de setup/implantação não recorrente]. Churn mensal assumido: [X]% — [validar com Comercial/Financeiro]. Acúmulo no tempo: a receita reconhecida no ano é menor que o ARR de fim de período por causa do ramp de aquisição de clientes ao longo dos 12 meses — ver projeção na Seção 7.</w:t>
      </w:r>
    </w:p>
    <w:p>
      <w:pPr>
        <w:spacing w:before="0" w:after="80"/>
      </w:pPr>
    </w:p>
    <w:p>
      <w:pPr>
        <w:spacing w:before="360" w:after="40"/>
      </w:pPr>
      <w:r>
        <w:rPr>
          <w:rFonts w:ascii="Calibri" w:hAnsi="Calibri" w:eastAsia="Calibri" w:cs="Calibri"/>
          <w:b/>
          <w:bCs/>
          <w:color w:val="00B0C8"/>
          <w:sz w:val="20"/>
          <w:szCs w:val="20"/>
        </w:rPr>
        <w:t xml:space="preserve">5.  UNIT ECONOMICS</w:t>
      </w:r>
    </w:p>
    <w:p>
      <w:pPr>
        <w:pBdr>
          <w:bottom w:val="single" w:color="00B0C8" w:sz="8" w:space="3"/>
        </w:pBdr>
        <w:spacing w:before="0" w:after="160"/>
      </w:pPr>
      <w:r>
        <w:rPr>
          <w:rFonts w:ascii="Calibri" w:hAnsi="Calibri" w:eastAsia="Calibri" w:cs="Calibri"/>
          <w:b/>
          <w:bCs/>
          <w:color w:val="0A1A3C"/>
          <w:sz w:val="32"/>
          <w:szCs w:val="32"/>
        </w:rPr>
        <w:t xml:space="preserve">Métricas por cliente — preencher com Financeiro</w:t>
      </w:r>
    </w:p>
    <w:tbl>
      <w:tblPr>
        <w:tblW w:w="9360" w:type="dxa"/>
        <w:tblBorders>
          <w:top w:val="single" w:color="00B0C8" w:sz="4"/>
          <w:left w:val="single" w:color="00B0C8" w:sz="4"/>
          <w:bottom w:val="single" w:color="00B0C8" w:sz="4"/>
          <w:right w:val="single" w:color="00B0C8" w:sz="4"/>
          <w:insideH w:val="single" w:color="CCCCCC" w:sz="4"/>
          <w:insideV w:val="single" w:color="CCCCCC" w:sz="4"/>
        </w:tblBorders>
      </w:tblPr>
      <w:tblGrid>
        <w:gridCol w:w="3000"/>
        <w:gridCol w:w="3180"/>
        <w:gridCol w:w="3180"/>
      </w:tblGrid>
      <w:tr>
        <w:tc>
          <w:tcPr>
            <w:tcW w:w="300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w="318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w="318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Ticket médio (blended)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R$ [derivado do mix de planos]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Derivado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Margem de contribuição estimada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[X]% — R$ [X]/mês por cliente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Premissa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COGS por cliente (custo de servir — infraestrutura e IA, se aplicável)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R$ [validar com Financeiro]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A confirmar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CAC estimado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R$ [validar com Marketing/Comercial]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A confirmar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LTV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R$ [depende do churn — validar]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A confirmar</w:t>
            </w:r>
          </w:p>
        </w:tc>
      </w:tr>
    </w:tbl>
    <w:p>
      <w:pPr>
        <w:spacing w:before="0" w:after="80"/>
      </w:pPr>
    </w:p>
    <w:p>
      <w:pPr>
        <w:spacing w:before="360" w:after="40"/>
      </w:pPr>
      <w:r>
        <w:rPr>
          <w:rFonts w:ascii="Calibri" w:hAnsi="Calibri" w:eastAsia="Calibri" w:cs="Calibri"/>
          <w:b/>
          <w:bCs/>
          <w:color w:val="00B0C8"/>
          <w:sz w:val="20"/>
          <w:szCs w:val="20"/>
        </w:rPr>
        <w:t xml:space="preserve">6.  ESTRUTURA DE CUSTOS</w:t>
      </w:r>
    </w:p>
    <w:p>
      <w:pPr>
        <w:pBdr>
          <w:bottom w:val="single" w:color="00B0C8" w:sz="8" w:space="3"/>
        </w:pBdr>
        <w:spacing w:before="0" w:after="160"/>
      </w:pPr>
      <w:r>
        <w:rPr>
          <w:rFonts w:ascii="Calibri" w:hAnsi="Calibri" w:eastAsia="Calibri" w:cs="Calibri"/>
          <w:b/>
          <w:bCs/>
          <w:color w:val="0A1A3C"/>
          <w:sz w:val="32"/>
          <w:szCs w:val="32"/>
        </w:rPr>
        <w:t xml:space="preserve">CAPEX (único) separado de COGS e OPEX (recorrentes) — inclui custo de IA/GPU quando aplicável</w:t>
      </w:r>
    </w:p>
    <w:tbl>
      <w:tblPr>
        <w:tblW w:w="9360" w:type="dxa"/>
        <w:tblBorders>
          <w:top w:val="single" w:color="00B0C8" w:sz="4"/>
          <w:left w:val="single" w:color="00B0C8" w:sz="4"/>
          <w:bottom w:val="single" w:color="00B0C8" w:sz="4"/>
          <w:right w:val="single" w:color="00B0C8" w:sz="4"/>
          <w:insideH w:val="single" w:color="CCCCCC" w:sz="4"/>
          <w:insideV w:val="single" w:color="CCCCCC" w:sz="4"/>
        </w:tblBorders>
      </w:tblPr>
      <w:tblGrid>
        <w:gridCol w:w="3000"/>
        <w:gridCol w:w="3180"/>
        <w:gridCol w:w="3180"/>
      </w:tblGrid>
      <w:tr>
        <w:tc>
          <w:tcPr>
            <w:tcW w:w="300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318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318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Natureza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CAPEX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[preencher — desenvolvimento do produto, ex: R$ X]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Único · [já realizado / a realizar]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COGS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[preencher — custo de servir por cliente: infraestrutura, storage, IA/GPU, se aplicável]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Recorrente · [validar com Financeiro]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OPEX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[preencher — sustentação, suporte e evolução do produto]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Recorrente · [validar com Financeiro]</w:t>
            </w:r>
          </w:p>
        </w:tc>
      </w:tr>
    </w:tbl>
    <w:p>
      <w:pPr>
        <w:spacing w:before="0" w:after="80"/>
      </w:pPr>
    </w:p>
    <w:p>
      <w:pPr>
        <w:spacing w:before="360" w:after="40"/>
      </w:pPr>
      <w:r>
        <w:rPr>
          <w:rFonts w:ascii="Calibri" w:hAnsi="Calibri" w:eastAsia="Calibri" w:cs="Calibri"/>
          <w:b/>
          <w:bCs/>
          <w:color w:val="00B0C8"/>
          <w:sz w:val="20"/>
          <w:szCs w:val="20"/>
        </w:rPr>
        <w:t xml:space="preserve">7.  PROJEÇÃO DE RECEITA — ARR AO FIM DE 24 MESES</w:t>
      </w:r>
    </w:p>
    <w:p>
      <w:pPr>
        <w:pBdr>
          <w:bottom w:val="single" w:color="00B0C8" w:sz="8" w:space="3"/>
        </w:pBdr>
        <w:spacing w:before="0" w:after="160"/>
      </w:pPr>
      <w:r>
        <w:rPr>
          <w:rFonts w:ascii="Calibri" w:hAnsi="Calibri" w:eastAsia="Calibri" w:cs="Calibri"/>
          <w:b/>
          <w:bCs/>
          <w:color w:val="0A1A3C"/>
          <w:sz w:val="32"/>
          <w:szCs w:val="32"/>
        </w:rPr>
        <w:t xml:space="preserve">Dois cenários obrigatórios</w:t>
      </w:r>
    </w:p>
    <w:tbl>
      <w:tblPr>
        <w:tblW w:w="9360" w:type="dxa"/>
        <w:tblBorders>
          <w:top w:val="single" w:color="00B0C8" w:sz="4"/>
          <w:left w:val="single" w:color="00B0C8" w:sz="4"/>
          <w:bottom w:val="single" w:color="00B0C8" w:sz="4"/>
          <w:right w:val="single" w:color="00B0C8" w:sz="4"/>
          <w:insideH w:val="single" w:color="CCCCCC" w:sz="4"/>
          <w:insideV w:val="single" w:color="CCCCCC" w:sz="4"/>
        </w:tblBorders>
      </w:tblPr>
      <w:tblGrid>
        <w:gridCol w:w="3000"/>
        <w:gridCol w:w="3180"/>
        <w:gridCol w:w="3180"/>
      </w:tblGrid>
      <w:tr>
        <w:tc>
          <w:tcPr>
            <w:tcW w:w="300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w="318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Cenário Alvo</w:t>
            </w:r>
          </w:p>
        </w:tc>
        <w:tc>
          <w:tcPr>
            <w:tcW w:w="318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Cenário Conservador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Ano 1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[X] clientes — R$ [X] ARR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[X] clientes — R$ [X] ARR</w:t>
            </w:r>
          </w:p>
        </w:tc>
      </w:tr>
      <w:tr>
        <w:tc>
          <w:tcPr>
            <w:tcW w:w="300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Ano 2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[X] clientes — R$ [X] ARR</w:t>
            </w:r>
          </w:p>
        </w:tc>
        <w:tc>
          <w:tcPr>
            <w:tcW w:w="31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[X] clientes — R$ [X] ARR</w:t>
            </w:r>
          </w:p>
        </w:tc>
      </w:tr>
    </w:tbl>
    <w:p>
      <w:pPr>
        <w:spacing w:before="0" w:after="100"/>
        <w:jc w:val="both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Todos os números de cliente e ARR são premissa até validação com Financeiro e Núcleo de Inteligência de Mercado. Não apresentar ao board com campos em branco.</w:t>
      </w:r>
    </w:p>
    <w:p>
      <w:pPr>
        <w:spacing w:before="0" w:after="80"/>
      </w:pPr>
    </w:p>
    <w:p>
      <w:pPr>
        <w:spacing w:before="360" w:after="40"/>
      </w:pPr>
      <w:r>
        <w:rPr>
          <w:rFonts w:ascii="Calibri" w:hAnsi="Calibri" w:eastAsia="Calibri" w:cs="Calibri"/>
          <w:b/>
          <w:bCs/>
          <w:color w:val="00B0C8"/>
          <w:sz w:val="20"/>
          <w:szCs w:val="20"/>
        </w:rPr>
        <w:t xml:space="preserve">8.  ENQUADRAMENTO NOS 9 CRITÉRIOS DO BOARD</w:t>
      </w:r>
    </w:p>
    <w:p>
      <w:pPr>
        <w:pBdr>
          <w:bottom w:val="single" w:color="00B0C8" w:sz="8" w:space="3"/>
        </w:pBdr>
        <w:spacing w:before="0" w:after="160"/>
      </w:pPr>
      <w:r>
        <w:rPr>
          <w:rFonts w:ascii="Calibri" w:hAnsi="Calibri" w:eastAsia="Calibri" w:cs="Calibri"/>
          <w:b/>
          <w:bCs/>
          <w:color w:val="0A1A3C"/>
          <w:sz w:val="32"/>
          <w:szCs w:val="32"/>
        </w:rPr>
        <w:t xml:space="preserve">Checklist de decisão</w:t>
      </w:r>
    </w:p>
    <w:tbl>
      <w:tblPr>
        <w:tblW w:w="9360" w:type="dxa"/>
        <w:tblBorders>
          <w:top w:val="single" w:color="00B0C8" w:sz="4"/>
          <w:left w:val="single" w:color="00B0C8" w:sz="4"/>
          <w:bottom w:val="single" w:color="00B0C8" w:sz="4"/>
          <w:right w:val="single" w:color="00B0C8" w:sz="4"/>
          <w:insideH w:val="single" w:color="CCCCCC" w:sz="4"/>
          <w:insideV w:val="single" w:color="CCCCCC" w:sz="4"/>
        </w:tblBorders>
      </w:tblPr>
      <w:tblGrid>
        <w:gridCol w:w="500"/>
        <w:gridCol w:w="2560"/>
        <w:gridCol w:w="4000"/>
        <w:gridCol w:w="2300"/>
      </w:tblGrid>
      <w:tr>
        <w:tc>
          <w:tcPr>
            <w:tcW w:w="50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256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w="400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Evidência do [Nome do Produto]</w:t>
            </w:r>
          </w:p>
        </w:tc>
        <w:tc>
          <w:tcPr>
            <w:tcW w:w="2300" w:type="dxa"/>
            <w:shd w:val="clear" w:color="auto" w:fill="0A1A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1</w:t>
            </w:r>
          </w:p>
        </w:tc>
        <w:tc>
          <w:tcPr>
            <w:tcW w:w="256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Diferenciação de mercado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[preencher — o que nenhum concorrente entrega junto] [validar com Núcleo de Inteligência de Mercado]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A confirmar</w:t>
            </w:r>
          </w:p>
        </w:tc>
      </w:tr>
      <w:tr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2</w:t>
            </w:r>
          </w:p>
        </w:tc>
        <w:tc>
          <w:tcPr>
            <w:tcW w:w="256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Janela de diferenciação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[preencher — barreira técnica, integração ou dado proprietário que sustenta a janela]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A confirmar</w:t>
            </w:r>
          </w:p>
        </w:tc>
      </w:tr>
      <w:tr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3</w:t>
            </w:r>
          </w:p>
        </w:tc>
        <w:tc>
          <w:tcPr>
            <w:tcW w:w="256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Time-to-Market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[preencher — produto operacional? manuais publicados? precificação definida?]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A confirmar</w:t>
            </w:r>
          </w:p>
        </w:tc>
      </w:tr>
      <w:tr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4</w:t>
            </w:r>
          </w:p>
        </w:tc>
        <w:tc>
          <w:tcPr>
            <w:tcW w:w="256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Força competitiva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[preencher — comparação de custo/funcionalidade vs. alternativas do A0]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A confirmar</w:t>
            </w:r>
          </w:p>
        </w:tc>
      </w:tr>
      <w:tr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5</w:t>
            </w:r>
          </w:p>
        </w:tc>
        <w:tc>
          <w:tcPr>
            <w:tcW w:w="256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CAPEX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R$ [confirmar com Financeiro] — [aprovado / a aprovar pelo board]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A confirmar</w:t>
            </w:r>
          </w:p>
        </w:tc>
      </w:tr>
      <w:tr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6</w:t>
            </w:r>
          </w:p>
        </w:tc>
        <w:tc>
          <w:tcPr>
            <w:tcW w:w="256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COGS, OPEX e Unit Economics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[validar com Financeiro — inclui custo de infraestrutura e IA, se aplicável]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A confirmar</w:t>
            </w:r>
          </w:p>
        </w:tc>
      </w:tr>
      <w:tr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7</w:t>
            </w:r>
          </w:p>
        </w:tc>
        <w:tc>
          <w:tcPr>
            <w:tcW w:w="256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Breakeven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[X] clientes — [avaliar vs. ideal de 5–10 clientes]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A confirmar</w:t>
            </w:r>
          </w:p>
        </w:tc>
      </w:tr>
      <w:tr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8</w:t>
            </w:r>
          </w:p>
        </w:tc>
        <w:tc>
          <w:tcPr>
            <w:tcW w:w="256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Payback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[X] meses — [avaliar vs. limite ≤ 18 meses]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A confirmar</w:t>
            </w:r>
          </w:p>
        </w:tc>
      </w:tr>
      <w:tr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9</w:t>
            </w:r>
          </w:p>
        </w:tc>
        <w:tc>
          <w:tcPr>
            <w:tcW w:w="2560" w:type="dxa"/>
            <w:shd w:val="clear" w:color="auto" w:fill="E6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bCs/>
                <w:color w:val="0A1A3C"/>
                <w:sz w:val="20"/>
                <w:szCs w:val="20"/>
              </w:rPr>
              <w:t xml:space="preserve">Fit estratégico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[preencher — aderência ao portfólio Central IT]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 xml:space="preserve">A confirmar</w:t>
            </w:r>
          </w:p>
        </w:tc>
      </w:tr>
    </w:tbl>
    <w:p>
      <w:pPr>
        <w:spacing w:before="0" w:after="80"/>
      </w:pPr>
    </w:p>
    <w:p>
      <w:pPr>
        <w:spacing w:before="360" w:after="40"/>
      </w:pPr>
      <w:r>
        <w:rPr>
          <w:rFonts w:ascii="Calibri" w:hAnsi="Calibri" w:eastAsia="Calibri" w:cs="Calibri"/>
          <w:b/>
          <w:bCs/>
          <w:color w:val="00B0C8"/>
          <w:sz w:val="20"/>
          <w:szCs w:val="20"/>
        </w:rPr>
        <w:t xml:space="preserve">9.  RISCOS PARA AVALIAÇÃO DA DIRETORIA</w:t>
      </w:r>
    </w:p>
    <w:p>
      <w:pPr>
        <w:pBdr>
          <w:bottom w:val="single" w:color="00B0C8" w:sz="8" w:space="3"/>
        </w:pBdr>
        <w:spacing w:before="0" w:after="160"/>
      </w:pPr>
      <w:r>
        <w:rPr>
          <w:rFonts w:ascii="Calibri" w:hAnsi="Calibri" w:eastAsia="Calibri" w:cs="Calibri"/>
          <w:b/>
          <w:bCs/>
          <w:color w:val="0A1A3C"/>
          <w:sz w:val="32"/>
          <w:szCs w:val="32"/>
        </w:rPr>
        <w:t xml:space="preserve">Pontos de atenção antes de ir ao board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COGS de [infraestrutura/IA, se aplicável] ainda não medido com precisão — risco direto à margem, especialmente nos tiers de entrada com preço mais baixo. [preencher com o risco real do produto]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Ancoragem de preço: [existe benchmark direto no Brasil? o cliente tem referência de valor?] [preencher]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Risco de percepção: [o produto pode ser confundido com uma alternativa genérica se o pitch não for cirúrgico em comunicar o diferencial real?] [preencher]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Dependência técnica: [o produto depende de alguma plataforma ou integração que pode limitar clientes fora do ecossistema?] [preencher — validar com Desenvolvimento]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Mix de planos: [a concentração em algum tier pode gerar ARR baixo e dificultar o breakeven?] — validar com Comercial qual é o ticket esperado no pipeline atual.</w:t>
      </w:r>
    </w:p>
    <w:p>
      <w:pPr>
        <w:spacing w:before="360" w:after="40"/>
      </w:pPr>
      <w:r>
        <w:rPr>
          <w:rFonts w:ascii="Calibri" w:hAnsi="Calibri" w:eastAsia="Calibri" w:cs="Calibri"/>
          <w:b/>
          <w:bCs/>
          <w:color w:val="00B0C8"/>
          <w:sz w:val="20"/>
          <w:szCs w:val="20"/>
        </w:rPr>
        <w:t xml:space="preserve">10.  CHECKLIST DE CONSISTÊNCIA ANTES DA DIRETORIA</w:t>
      </w:r>
    </w:p>
    <w:p>
      <w:pPr>
        <w:pBdr>
          <w:bottom w:val="single" w:color="00B0C8" w:sz="8" w:space="3"/>
        </w:pBdr>
        <w:spacing w:before="0" w:after="160"/>
      </w:pPr>
      <w:r>
        <w:rPr>
          <w:rFonts w:ascii="Calibri" w:hAnsi="Calibri" w:eastAsia="Calibri" w:cs="Calibri"/>
          <w:b/>
          <w:bCs/>
          <w:color w:val="0A1A3C"/>
          <w:sz w:val="32"/>
          <w:szCs w:val="32"/>
        </w:rPr>
        <w:t xml:space="preserve">Confirmar cada item antes de submeter — replica os critérios de reprovação do Kit GTM 2.0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Cenário conservador presente, não só o alvo otimista.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Nenhuma premissa apresentada como fato — toda estimativa marcada como Premissa/A confirmar na coluna Origem.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CAPEX (único) não misturado com COGS/OPEX (recorrente) na Seção 6.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Churn informado para a receita recorrente (Seção 4).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Preço e mercado batendo com o A1 (Pitch) e a Matriz de Oferta (A2A/A2B) — sem divergência de números.</w:t>
      </w:r>
    </w:p>
    <w:p>
      <w:pPr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Financeiro validou COGS/OPEX antes da submissão — o business case não foi fechado só pelo GTM.</w:t>
      </w:r>
    </w:p>
    <w:p>
      <w:pPr>
        <w:spacing w:before="0" w:after="80"/>
      </w:pPr>
    </w:p>
    <w:sectPr>
      <w:headerReference w:type="default" r:id="rId7"/>
      <w:footerReference w:type="default" r:id="rId8"/>
      <w:pgSz w:w="12240" w:h="15840"/>
      <w:pgMar w:top="1080" w:right="1080" w:bottom="1080" w:left="10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182B9C9B" w14:paraId="6BEEDEA9" wp14:textId="77777777">
    <w:pPr>
      <w:pBdr>
        <w:top w:val="single" w:color="00B0C8" w:sz="6" w:space="1"/>
      </w:pBdr>
      <w:tabs>
        <w:tab w:val="right" w:pos="9026"/>
      </w:tabs>
      <w:spacing w:before="60" w:after="0"/>
      <w:rPr>
        <w:lang w:val="en-US"/>
      </w:rPr>
    </w:pPr>
    <w:r w:rsidRPr="182B9C9B" w:rsidR="182B9C9B">
      <w:rPr>
        <w:rFonts w:ascii="Calibri" w:hAnsi="Calibri" w:eastAsia="Calibri" w:cs="Calibri"/>
        <w:color w:val="555555"/>
        <w:sz w:val="16"/>
        <w:szCs w:val="16"/>
        <w:lang w:val="en-US"/>
      </w:rPr>
      <w:t>Central IT Tecnologia da Informação S/A</w:t>
    </w:r>
    <w:r w:rsidRPr="182B9C9B" w:rsidR="182B9C9B">
      <w:rPr>
        <w:rFonts w:ascii="Calibri" w:hAnsi="Calibri" w:eastAsia="Calibri" w:cs="Calibri"/>
        <w:color w:val="555555"/>
        <w:sz w:val="16"/>
        <w:szCs w:val="16"/>
        <w:lang w:val="en-US"/>
      </w:rPr>
      <w:t xml:space="preserve">Página </w:t>
    </w:r>
    <w:r w:rsidRPr="182B9C9B">
      <w:rPr>
        <w:rFonts w:ascii="Calibri" w:hAnsi="Calibri" w:eastAsia="Calibri" w:cs="Calibri"/>
        <w:b w:val="1"/>
        <w:bCs w:val="1"/>
        <w:color w:val="0A1A3C"/>
        <w:sz w:val="16"/>
        <w:szCs w:val="16"/>
        <w:lang w:val="en-US"/>
      </w:rPr>
      <w:fldChar w:fldCharType="begin"/>
    </w:r>
    <w:r w:rsidRPr="182B9C9B">
      <w:rPr>
        <w:rFonts w:ascii="Calibri" w:hAnsi="Calibri" w:eastAsia="Calibri" w:cs="Calibri"/>
        <w:b w:val="1"/>
        <w:bCs w:val="1"/>
        <w:color w:val="0A1A3C"/>
        <w:sz w:val="16"/>
        <w:szCs w:val="16"/>
      </w:rPr>
      <w:instrText xml:space="preserve">PAGE</w:instrText>
    </w:r>
    <w:r w:rsidRPr="182B9C9B">
      <w:rPr>
        <w:rFonts w:ascii="Calibri" w:hAnsi="Calibri" w:eastAsia="Calibri" w:cs="Calibri"/>
        <w:b w:val="1"/>
        <w:bCs w:val="1"/>
        <w:color w:val="0A1A3C"/>
        <w:sz w:val="16"/>
        <w:szCs w:val="16"/>
      </w:rPr>
      <w:fldChar w:fldCharType="separate"/>
    </w:r>
    <w:r w:rsidRPr="182B9C9B">
      <w:rPr>
        <w:rFonts w:ascii="Calibri" w:hAnsi="Calibri" w:eastAsia="Calibri" w:cs="Calibri"/>
        <w:b w:val="1"/>
        <w:bCs w:val="1"/>
        <w:color w:val="0A1A3C"/>
        <w:sz w:val="16"/>
        <w:szCs w:val="16"/>
        <w:lang w:val="en-US"/>
      </w:rPr>
      <w:fldChar w:fldCharType="end"/>
    </w:r>
    <w:r w:rsidRPr="182B9C9B" w:rsidR="182B9C9B">
      <w:rPr>
        <w:rFonts w:ascii="Calibri" w:hAnsi="Calibri" w:eastAsia="Calibri" w:cs="Calibri"/>
        <w:color w:val="555555"/>
        <w:sz w:val="16"/>
        <w:szCs w:val="16"/>
        <w:lang w:val="en-US"/>
      </w:rPr>
      <w:t xml:space="preserve"> de </w:t>
    </w:r>
    <w:r w:rsidRPr="182B9C9B">
      <w:rPr>
        <w:rFonts w:ascii="Calibri" w:hAnsi="Calibri" w:eastAsia="Calibri" w:cs="Calibri"/>
        <w:b w:val="1"/>
        <w:bCs w:val="1"/>
        <w:color w:val="0A1A3C"/>
        <w:sz w:val="16"/>
        <w:szCs w:val="16"/>
        <w:lang w:val="en-US"/>
      </w:rPr>
      <w:fldChar w:fldCharType="begin"/>
    </w:r>
    <w:r w:rsidRPr="182B9C9B">
      <w:rPr>
        <w:rFonts w:ascii="Calibri" w:hAnsi="Calibri" w:eastAsia="Calibri" w:cs="Calibri"/>
        <w:b w:val="1"/>
        <w:bCs w:val="1"/>
        <w:color w:val="0A1A3C"/>
        <w:sz w:val="16"/>
        <w:szCs w:val="16"/>
      </w:rPr>
      <w:instrText xml:space="preserve">NUMPAGES</w:instrText>
    </w:r>
    <w:r w:rsidRPr="182B9C9B">
      <w:rPr>
        <w:rFonts w:ascii="Calibri" w:hAnsi="Calibri" w:eastAsia="Calibri" w:cs="Calibri"/>
        <w:b w:val="1"/>
        <w:bCs w:val="1"/>
        <w:color w:val="0A1A3C"/>
        <w:sz w:val="16"/>
        <w:szCs w:val="16"/>
      </w:rPr>
      <w:fldChar w:fldCharType="separate"/>
    </w:r>
    <w:r w:rsidRPr="182B9C9B">
      <w:rPr>
        <w:rFonts w:ascii="Calibri" w:hAnsi="Calibri" w:eastAsia="Calibri" w:cs="Calibri"/>
        <w:b w:val="1"/>
        <w:bCs w:val="1"/>
        <w:color w:val="0A1A3C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>
  <w:tbl>
    <w:tblPr>
      <w:tblW w:w="9360" w:type="dxa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3000"/>
      <w:gridCol w:w="6360"/>
    </w:tblGrid>
    <w:tr xmlns:wp14="http://schemas.microsoft.com/office/word/2010/wordml" w:rsidTr="182B9C9B" w14:paraId="4D53A3DA" wp14:textId="77777777">
      <w:tc>
        <w:tcPr>
          <w:tcW w:w="3000" w:type="dxa"/>
          <w:tcBorders>
            <w:top w:val="none" w:color="FFFFFF" w:sz="0"/>
            <w:left w:val="none" w:color="FFFFFF" w:sz="0"/>
            <w:bottom w:val="single" w:color="00B0C8" w:sz="8"/>
            <w:right w:val="none" w:color="FFFFFF" w:sz="0"/>
          </w:tcBorders>
          <w:tcMar>
            <w:top w:w="0" w:type="dxa"/>
            <w:left w:w="0" w:type="dxa"/>
            <w:bottom w:w="40" w:type="dxa"/>
            <w:right w:w="0" w:type="dxa"/>
          </w:tcMar>
          <w:vAlign w:val="bottom"/>
        </w:tcPr>
        <w:p w14:paraId="0562CB0E" wp14:textId="77777777">
          <w:pPr>
            <w:spacing w:before="0" w:after="0"/>
          </w:pPr>
          <w:r>
            <w:drawing>
              <wp:inline xmlns:wp14="http://schemas.microsoft.com/office/word/2010/wordprocessingDrawing" distT="0" distB="0" distL="0" distR="0" wp14:anchorId="3A7DB4E2" wp14:editId="7777777">
                <wp:extent cx="952500" cy="276225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60" w:type="dxa"/>
          <w:tcBorders>
            <w:top w:val="none" w:color="FFFFFF" w:sz="0"/>
            <w:left w:val="none" w:color="FFFFFF" w:sz="0"/>
            <w:bottom w:val="single" w:color="00B0C8" w:sz="8"/>
            <w:right w:val="none" w:color="FFFFFF" w:sz="0"/>
          </w:tcBorders>
          <w:tcMar>
            <w:top w:w="0" w:type="dxa"/>
            <w:left w:w="0" w:type="dxa"/>
            <w:bottom w:w="40" w:type="dxa"/>
            <w:right w:w="0" w:type="dxa"/>
          </w:tcMar>
          <w:vAlign w:val="bottom"/>
        </w:tcPr>
        <w:p w14:paraId="0D57E1F4" wp14:textId="77777777">
          <w:pPr>
            <w:spacing w:before="0" w:after="0"/>
            <w:jc w:val="right"/>
          </w:pPr>
          <w:r w:rsidRPr="182B9C9B" w:rsidR="182B9C9B">
            <w:rPr>
              <w:rFonts w:ascii="Calibri" w:hAnsi="Calibri" w:eastAsia="Calibri" w:cs="Calibri"/>
              <w:color w:val="666666"/>
              <w:sz w:val="16"/>
              <w:szCs w:val="16"/>
              <w:lang w:val="en-US"/>
            </w:rPr>
            <w:t>CentralIT  ·  [Nome do Produto]  ·  A5 · Plano de Negócio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7b14f0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82B9C9B"/>
    <w:rsid w:val="182B9C9B"/>
    <w:rsid w:val="34E106F1"/>
  </w:rsids>
  <w14:docId w14:val="2B88FE73"/>
  <w15:docId w15:val="{D5487F86-53BF-427B-A1AB-C6C475F204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footer" Target="footer1.xml" Id="rId8"/><Relationship Type="http://schemas.openxmlformats.org/officeDocument/2006/relationships/header" Target="header1.xml" Id="rId7"/><Relationship Type="http://schemas.openxmlformats.org/officeDocument/2006/relationships/customXml" Target="../customXml/item3.xml" Id="rId12"/><Relationship Type="http://schemas.openxmlformats.org/officeDocument/2006/relationships/numbering" Target="numbering.xml" Id="rId2"/><Relationship Type="http://schemas.openxmlformats.org/officeDocument/2006/relationships/styles" Target="styles.xml" Id="rId1"/><Relationship Type="http://schemas.openxmlformats.org/officeDocument/2006/relationships/customXml" Target="../customXml/item2.xml" Id="rId11"/><Relationship Type="http://schemas.openxmlformats.org/officeDocument/2006/relationships/settings" Target="settings.xml" Id="rId5"/><Relationship Type="http://schemas.openxmlformats.org/officeDocument/2006/relationships/customXml" Target="../customXml/item1.xml" Id="rId10"/><Relationship Type="http://schemas.openxmlformats.org/officeDocument/2006/relationships/fontTable" Target="fontTable.xml" Id="rId9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95acd3cc7e12c013f7e1c204db3b536ca029882.png"/></Relationships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5A59BA824ACC4AA89E1E665959B25C" ma:contentTypeVersion="12" ma:contentTypeDescription="Crie um novo documento." ma:contentTypeScope="" ma:versionID="e25c60b1068e9ec0dedefc62a6682bf3">
  <xsd:schema xmlns:xsd="http://www.w3.org/2001/XMLSchema" xmlns:xs="http://www.w3.org/2001/XMLSchema" xmlns:p="http://schemas.microsoft.com/office/2006/metadata/properties" xmlns:ns2="f1b3c176-028f-4969-aa20-4094d068e71c" xmlns:ns3="c8892a47-eb0a-4bed-9212-37fb6230bd38" targetNamespace="http://schemas.microsoft.com/office/2006/metadata/properties" ma:root="true" ma:fieldsID="9d36d6e6e36d3a07e20f223779ed4d36" ns2:_="" ns3:_="">
    <xsd:import namespace="f1b3c176-028f-4969-aa20-4094d068e71c"/>
    <xsd:import namespace="c8892a47-eb0a-4bed-9212-37fb6230bd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b3c176-028f-4969-aa20-4094d068e7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97b4ddf-416b-4344-89ee-f791a18dd1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92a47-eb0a-4bed-9212-37fb6230bd3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5bfa3e-907e-401d-ac78-22ebada223b5}" ma:internalName="TaxCatchAll" ma:showField="CatchAllData" ma:web="c8892a47-eb0a-4bed-9212-37fb6230bd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b3c176-028f-4969-aa20-4094d068e71c">
      <Terms xmlns="http://schemas.microsoft.com/office/infopath/2007/PartnerControls"/>
    </lcf76f155ced4ddcb4097134ff3c332f>
    <TaxCatchAll xmlns="c8892a47-eb0a-4bed-9212-37fb6230bd38" xsi:nil="true"/>
  </documentManagement>
</p:properties>
</file>

<file path=customXml/itemProps1.xml><?xml version="1.0" encoding="utf-8"?>
<ds:datastoreItem xmlns:ds="http://schemas.openxmlformats.org/officeDocument/2006/customXml" ds:itemID="{9CC29B69-91EE-469F-9E6C-B955D8B37DEC}"/>
</file>

<file path=customXml/itemProps2.xml><?xml version="1.0" encoding="utf-8"?>
<ds:datastoreItem xmlns:ds="http://schemas.openxmlformats.org/officeDocument/2006/customXml" ds:itemID="{66C644B5-1CA1-4794-AE4D-1587CB27C0FD}"/>
</file>

<file path=customXml/itemProps3.xml><?xml version="1.0" encoding="utf-8"?>
<ds:datastoreItem xmlns:ds="http://schemas.openxmlformats.org/officeDocument/2006/customXml" ds:itemID="{0F415314-7630-4F7A-9F00-BE15F323E7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NADIA CATALINE DA SILVA</lastModifiedBy>
  <revision>3</revision>
  <dcterms:created xsi:type="dcterms:W3CDTF">2026-05-13T20:23:18.0000000Z</dcterms:created>
  <dcterms:modified xsi:type="dcterms:W3CDTF">2026-05-13T20:31:28.8692173Z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0x010100605A59BA824ACC4AA89E1E665959B25C</vt:lpwstr>
  </property>
  <property fmtid="{D5CDD505-2E9C-101B-9397-08002B2CF9AE}" pid="3" name="MediaServiceImageTags">
    <vt:lpwstr/>
  </property>
</Properties>
</file>