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widowControl/>
        <w:suppressAutoHyphens w:val="true"/>
        <w:bidi w:val="0"/>
        <w:jc w:val="both"/>
        <w:rPr/>
      </w:pPr>
      <w:r>
        <w:rPr/>
        <w:t>Making Blossom Robots – LASIGE Summer of Research</w:t>
      </w:r>
    </w:p>
    <w:p>
      <w:pPr>
        <w:pStyle w:val="Normal"/>
        <w:jc w:val="both"/>
        <w:rPr/>
      </w:pPr>
      <w:r>
        <w:rPr/>
      </w:r>
    </w:p>
    <w:p>
      <w:pPr>
        <w:pStyle w:val="Title"/>
        <w:jc w:val="both"/>
        <w:rPr/>
      </w:pPr>
      <w:r>
        <w:rPr/>
        <w:t>User Study Script</w:t>
      </w:r>
    </w:p>
    <w:p>
      <w:pPr>
        <w:pStyle w:val="Heading1"/>
        <w:widowControl/>
        <w:bidi w:val="0"/>
        <w:spacing w:lineRule="auto" w:line="276"/>
        <w:jc w:val="both"/>
        <w:rPr/>
      </w:pPr>
      <w:r>
        <w:rPr/>
        <w:t>Goal</w:t>
      </w:r>
    </w:p>
    <w:p>
      <w:pPr>
        <w:pStyle w:val="Normal"/>
        <w:jc w:val="both"/>
        <w:rPr>
          <w:rFonts w:ascii="Aptos" w:hAnsi="Aptos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Investigate how external robotic stimuli mimicking </w:t>
      </w: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user</w:t>
      </w: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’s movement and /or align robot’s movement with music and dancing (e.g., position and movement) influence </w:t>
      </w: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user</w:t>
      </w:r>
      <w:r>
        <w:rPr>
          <w:rFonts w:ascii="Aptos" w:hAnsi="Apto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’s visual attention during interactions with social robots, with potential applications in educational and therapeutic contexts.</w:t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Research Questions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How do external robotic stimuli (such as position and movement) affect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’s visual attention during interactions with social robots?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Does the presence of a secondary moving robot affect a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’s ability to maintain focus on the primary robot?</w:t>
      </w:r>
    </w:p>
    <w:p>
      <w:pPr>
        <w:pStyle w:val="BodyText"/>
        <w:jc w:val="both"/>
        <w:rPr>
          <w:i/>
          <w:i/>
          <w:sz w:val="21"/>
        </w:rPr>
      </w:pPr>
      <w:r>
        <w:rPr>
          <w:i/>
          <w:sz w:val="21"/>
        </w:rPr>
      </w:r>
    </w:p>
    <w:p>
      <w:pPr>
        <w:pStyle w:val="Heading1"/>
        <w:jc w:val="both"/>
        <w:rPr/>
      </w:pPr>
      <w:r>
        <w:rPr/>
        <w:t>Participants</w:t>
      </w:r>
    </w:p>
    <w:p>
      <w:pPr>
        <w:pStyle w:val="BodyText"/>
        <w:widowControl/>
        <w:numPr>
          <w:ilvl w:val="0"/>
          <w:numId w:val="30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/>
        <w:t>Children aged X to Y years.</w:t>
      </w:r>
    </w:p>
    <w:p>
      <w:pPr>
        <w:pStyle w:val="BodyText"/>
        <w:widowControl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/>
      </w:pPr>
      <w:r>
        <w:rPr/>
        <w:t>Voluntary participation with informed consent from parents or legal guardians.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Exclusion criteria: severe visual or motor impairments preventing interaction with robots.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Recruitment conducted at LASIGE.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Sample size: 20 participants.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left="720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Heading1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Preparation</w:t>
      </w:r>
    </w:p>
    <w:p>
      <w:pPr>
        <w:pStyle w:val="BodyText"/>
        <w:jc w:val="both"/>
        <w:rPr/>
      </w:pPr>
      <w:r>
        <w:rPr>
          <w:rStyle w:val="Emphasis"/>
          <w:b w:val="false"/>
          <w:bCs w:val="false"/>
        </w:rPr>
        <w:t>Required Materials: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Mimicking robot (TOM) capable of imitating head and shoulder movements.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Dancing robot (JERRY) capable of performing predefined and random movements.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Video recording camera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Consent form.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Behavioral observation sheet (distraction scale 1–5).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Stopwatch or time-tracking software.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Written consent</w:t>
      </w:r>
    </w:p>
    <w:p>
      <w:pPr>
        <w:pStyle w:val="BodyText"/>
        <w:rPr/>
      </w:pPr>
      <w:r>
        <w:rPr>
          <w:rStyle w:val="Emphasis"/>
          <w:b w:val="false"/>
          <w:bCs w:val="false"/>
        </w:rPr>
        <w:t>Pre-Session Checklist: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Test and power on both robots.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Ensure cameras are charged and recording.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Have the observation scale printed or displayed digitally.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Confirm signed parental consent.</w:t>
      </w:r>
    </w:p>
    <w:p>
      <w:pPr>
        <w:pStyle w:val="BodyText"/>
        <w:jc w:val="both"/>
        <w:rPr>
          <w:i/>
          <w:i/>
          <w:iCs/>
        </w:rPr>
      </w:pPr>
      <w:r>
        <w:rPr>
          <w:i/>
          <w:iCs/>
        </w:rPr>
        <w:t>Software Setup:</w:t>
      </w:r>
    </w:p>
    <w:p>
      <w:pPr>
        <w:pStyle w:val="BodyText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Follow this guide</w:t>
      </w:r>
    </w:p>
    <w:p>
      <w:pPr>
        <w:pStyle w:val="Normal"/>
        <w:jc w:val="both"/>
        <w:rPr/>
      </w:pPr>
      <w:r>
        <w:rPr/>
        <w:tab/>
      </w:r>
      <w:hyperlink r:id="rId2">
        <w:r>
          <w:rPr>
            <w:rStyle w:val="Hyperlink"/>
          </w:rPr>
          <w:t>https://github.com/DiogoSaraiva/blossom-lasige-research/wiki/Running</w:t>
        </w:r>
      </w:hyperlink>
    </w:p>
    <w:p>
      <w:pPr>
        <w:pStyle w:val="Heading1"/>
        <w:jc w:val="both"/>
        <w:rPr/>
      </w:pPr>
      <w:r>
        <w:rPr/>
        <w:t>Procedure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Play music file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Seat the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 facing the mimicking robot (TOM).  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Instruct the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: “Look at this robot while it imitates your movements.”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Habituation phase (2 minutes): TOM imitates the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’s head and shoulder movements; JERRY remains stationary.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Experimental phase: activate JERRY to perform a sequence of random movements, dancing rhythm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(3 minutes)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Observe and record the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’s visual attention using the distraction scale: via log</w:t>
      </w:r>
    </w:p>
    <w:p>
      <w:pPr>
        <w:pStyle w:val="BodyText"/>
        <w:widowControl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bidi w:val="0"/>
        <w:ind w:hanging="0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Fully focused on TOM.</w:t>
        <w:br/>
        <w:t>2 – Occasional glances at JERRY but returns focus to TOM.</w:t>
        <w:br/>
        <w:t>3 – Attention equally divided between TOM and JERRY.</w:t>
        <w:br/>
        <w:t>4 – More time looking at JERRY than TOM.</w:t>
        <w:br/>
        <w:t>5 – Fully distracted by JERRY.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Total session duration per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: ~15 minutes.</w:t>
      </w:r>
    </w:p>
    <w:p>
      <w:pPr>
        <w:pStyle w:val="BodyText"/>
        <w:widowControl/>
        <w:numPr>
          <w:ilvl w:val="0"/>
          <w:numId w:val="8"/>
        </w:numPr>
        <w:tabs>
          <w:tab w:val="clear" w:pos="720"/>
          <w:tab w:val="left" w:pos="0" w:leader="none"/>
        </w:tabs>
        <w:suppressAutoHyphens w:val="true"/>
        <w:bidi w:val="0"/>
        <w:ind w:hanging="283" w:left="72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After the trial, thank the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 and conclude the session.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i/>
          <w:i/>
          <w:sz w:val="21"/>
        </w:rPr>
      </w:pPr>
      <w:r>
        <w:rPr>
          <w:i/>
          <w:sz w:val="21"/>
        </w:rPr>
      </w:r>
    </w:p>
    <w:p>
      <w:pPr>
        <w:pStyle w:val="Heading1"/>
        <w:jc w:val="both"/>
        <w:rPr/>
      </w:pPr>
      <w:r>
        <w:rPr/>
        <w:t>Apparatus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  <w:b w:val="false"/>
          <w:bCs w:val="false"/>
          <w:i/>
          <w:iCs/>
        </w:rPr>
        <w:t>Mimicking robot (TOM):</w:t>
      </w:r>
      <w:r>
        <w:rPr>
          <w:rStyle w:val="Strong"/>
        </w:rPr>
        <w:t xml:space="preserve"> </w:t>
      </w:r>
      <w:r>
        <w:rPr>
          <w:rStyle w:val="Strong"/>
          <w:rFonts w:eastAsia="" w:cs="" w:cstheme="majorBidi" w:eastAsiaTheme="majorEastAsia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Blossom robot configured for real-time mimic.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  <w:b w:val="false"/>
          <w:bCs w:val="false"/>
          <w:i/>
          <w:iCs/>
        </w:rPr>
        <w:t>Dancing robot (JERRY):</w:t>
      </w:r>
      <w:r>
        <w:rPr>
          <w:b w:val="false"/>
          <w:bCs w:val="false"/>
          <w:i/>
          <w:iCs/>
        </w:rPr>
        <w:t xml:space="preserve"> </w:t>
      </w:r>
      <w:r>
        <w:rPr/>
        <w:t>Blossom robot configured to mimic the rhythm of the music played.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Video camera for session recording, for later analysis.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Computer running the Blossom robot control scripts.</w:t>
      </w:r>
    </w:p>
    <w:p>
      <w:pPr>
        <w:pStyle w:val="BodyText"/>
        <w:numPr>
          <w:ilvl w:val="0"/>
          <w:numId w:val="0"/>
        </w:numPr>
        <w:ind w:hanging="0" w:left="720"/>
        <w:jc w:val="both"/>
        <w:rPr>
          <w:i/>
          <w:i/>
          <w:sz w:val="21"/>
        </w:rPr>
      </w:pPr>
      <w:r>
        <w:rPr>
          <w:i/>
          <w:sz w:val="21"/>
        </w:rPr>
      </w:r>
    </w:p>
    <w:p>
      <w:pPr>
        <w:pStyle w:val="Heading1"/>
        <w:jc w:val="both"/>
        <w:rPr/>
      </w:pPr>
      <w:r>
        <w:rPr/>
        <w:t>Dependent Measures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ID</w:t>
      </w:r>
      <w:r>
        <w:rPr>
          <w:rStyle w:val="Strong"/>
          <w:b w:val="false"/>
          <w:bCs w:val="false"/>
        </w:rPr>
        <w:t>: anonymized participant identifier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time_mimic</w:t>
      </w:r>
      <w:r>
        <w:rPr/>
        <w:t>: total attention time (in seconds) directed at TOM (mimicking robot).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time_dancer</w:t>
      </w:r>
      <w:r>
        <w:rPr/>
        <w:t>: total attention time (in seconds) directed at JERRY (dancing robot).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switches</w:t>
      </w:r>
      <w:r>
        <w:rPr/>
        <w:t>: number of gaze shifts between TOM and JERRY.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dancing_time (%)</w:t>
      </w:r>
      <w:r>
        <w:rPr/>
        <w:t>: percentage of time spends dancing relative to total session time.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distraction_scale (1–5)</w:t>
      </w:r>
      <w:r>
        <w:rPr/>
        <w:t>: observer’s rating of attentional focus, where:</w:t>
        <w:br/>
        <w:t xml:space="preserve">1 – The </w:t>
      </w:r>
      <w:r>
        <w:rPr/>
        <w:t>user</w:t>
      </w:r>
      <w:r>
        <w:rPr/>
        <w:t xml:space="preserve"> maintains continuous attention on TOM with no signs of distraction.</w:t>
        <w:br/>
        <w:t xml:space="preserve">2 – The </w:t>
      </w:r>
      <w:r>
        <w:rPr/>
        <w:t>user</w:t>
      </w:r>
      <w:r>
        <w:rPr/>
        <w:t xml:space="preserve"> briefly looks at JERRY but promptly returns focus to TOM.</w:t>
        <w:br/>
        <w:t xml:space="preserve">3 – The </w:t>
      </w:r>
      <w:r>
        <w:rPr/>
        <w:t>user</w:t>
      </w:r>
      <w:r>
        <w:rPr/>
        <w:t xml:space="preserve"> alternates attention equally between TOM and JERRY.</w:t>
        <w:br/>
        <w:t xml:space="preserve">4 – The </w:t>
      </w:r>
      <w:r>
        <w:rPr/>
        <w:t>user</w:t>
      </w:r>
      <w:r>
        <w:rPr/>
        <w:t xml:space="preserve"> spends more time attending to JERRY than to TOM.</w:t>
        <w:br/>
        <w:t xml:space="preserve">5 – The </w:t>
      </w:r>
      <w:r>
        <w:rPr/>
        <w:t>user</w:t>
      </w:r>
      <w:r>
        <w:rPr/>
        <w:t xml:space="preserve"> focuses exclusively on JERRY, disregarding the instruction to attend to TOM.</w:t>
      </w:r>
    </w:p>
    <w:p>
      <w:pPr>
        <w:pStyle w:val="Heading1"/>
        <w:jc w:val="both"/>
        <w:rPr/>
      </w:pPr>
      <w:r>
        <w:rPr/>
        <w:t>Design</w:t>
      </w:r>
    </w:p>
    <w:p>
      <w:pPr>
        <w:pStyle w:val="BodyText"/>
        <w:widowControl/>
        <w:numPr>
          <w:ilvl w:val="0"/>
          <w:numId w:val="12"/>
        </w:numPr>
        <w:suppressAutoHyphens w:val="true"/>
        <w:bidi w:val="0"/>
        <w:jc w:val="left"/>
        <w:rPr>
          <w:rFonts w:ascii="Calibri Light" w:hAnsi="Calibri Light" w:eastAsia="" w:cs="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Within-subject design: each 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>user</w:t>
      </w:r>
      <w:r>
        <w:rPr>
          <w:rFonts w:eastAsia="" w:cs="" w:cstheme="majorBidi" w:eastAsiaTheme="majorEastAsia"/>
          <w:color w:val="auto"/>
          <w:kern w:val="0"/>
          <w:sz w:val="22"/>
          <w:szCs w:val="22"/>
          <w:lang w:val="en-US" w:eastAsia="en-US" w:bidi="ar-SA"/>
        </w:rPr>
        <w:t xml:space="preserve"> participates in the same experimental sequence.</w:t>
      </w:r>
    </w:p>
    <w:p>
      <w:pPr>
        <w:pStyle w:val="BodyText"/>
        <w:numPr>
          <w:ilvl w:val="0"/>
          <w:numId w:val="12"/>
        </w:numPr>
        <w:rPr/>
      </w:pPr>
      <w:r>
        <w:rPr>
          <w:rStyle w:val="Strong"/>
        </w:rPr>
        <w:t>Experimental conditions:</w:t>
      </w:r>
    </w:p>
    <w:p>
      <w:pPr>
        <w:pStyle w:val="BodyText"/>
        <w:numPr>
          <w:ilvl w:val="1"/>
          <w:numId w:val="12"/>
        </w:numPr>
        <w:rPr/>
      </w:pPr>
      <w:r>
        <w:rPr/>
        <w:t>Habituation phase (TOM active, JERRY stationary).</w:t>
      </w:r>
    </w:p>
    <w:p>
      <w:pPr>
        <w:pStyle w:val="BodyText"/>
        <w:numPr>
          <w:ilvl w:val="1"/>
          <w:numId w:val="12"/>
        </w:numPr>
        <w:rPr/>
      </w:pPr>
      <w:r>
        <w:rPr/>
        <w:t>Distraction phase (TOM active, JERRY mimicking music rhythm).</w:t>
      </w:r>
    </w:p>
    <w:p>
      <w:pPr>
        <w:pStyle w:val="BodyText"/>
        <w:numPr>
          <w:ilvl w:val="0"/>
          <w:numId w:val="12"/>
        </w:numPr>
        <w:rPr/>
      </w:pPr>
      <w:r>
        <w:rPr/>
        <w:t>All sessions are video-recorded for observation validation.</w:t>
      </w:r>
    </w:p>
    <w:p>
      <w:pPr>
        <w:pStyle w:val="Heading1"/>
        <w:jc w:val="both"/>
        <w:rPr/>
      </w:pPr>
      <w:r>
        <w:rPr/>
        <w:t>Analysis</w:t>
      </w:r>
    </w:p>
    <w:p>
      <w:pPr>
        <w:pStyle w:val="BodyText"/>
        <w:numPr>
          <w:ilvl w:val="0"/>
          <w:numId w:val="26"/>
        </w:numPr>
        <w:jc w:val="both"/>
        <w:rPr>
          <w:i w:val="false"/>
          <w:i w:val="false"/>
          <w:iCs w:val="false"/>
        </w:rPr>
      </w:pPr>
      <w:r>
        <w:rPr>
          <w:rStyle w:val="Strong"/>
          <w:i w:val="false"/>
          <w:iCs w:val="false"/>
        </w:rPr>
        <w:t>Comparison of attention between robots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Compute the mean attention time directed at TOM (</w:t>
      </w:r>
      <w:r>
        <w:rPr>
          <w:rStyle w:val="Emphasis"/>
        </w:rPr>
        <w:t>time_mimic</w:t>
      </w:r>
      <w:r>
        <w:rPr/>
        <w:t>) and JERRY (</w:t>
      </w:r>
      <w:r>
        <w:rPr>
          <w:rStyle w:val="Emphasis"/>
        </w:rPr>
        <w:t>time_dancer</w:t>
      </w:r>
      <w:r>
        <w:rPr/>
        <w:t>) during the experimental phase.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Perform a </w:t>
      </w:r>
      <w:r>
        <w:rPr>
          <w:rStyle w:val="Strong"/>
        </w:rPr>
        <w:t>paired t-test</w:t>
      </w:r>
      <w:r>
        <w:rPr/>
        <w:t xml:space="preserve"> to verify whether there is a significant difference in attention directed at the mimicking robot (TOM) versus the dancing robot (JERRY).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Directly addresses RQ2 </w:t>
      </w:r>
      <w:r>
        <w:rPr>
          <w:b w:val="false"/>
          <w:bCs w:val="false"/>
        </w:rPr>
        <w:t>(</w:t>
      </w:r>
      <w:r>
        <w:rPr>
          <w:rStyle w:val="Emphasis"/>
          <w:b w:val="false"/>
          <w:bCs w:val="false"/>
        </w:rPr>
        <w:t xml:space="preserve">Does the presence of a secondary moving robot affect a </w:t>
      </w:r>
      <w:r>
        <w:rPr>
          <w:rStyle w:val="Emphasis"/>
          <w:b w:val="false"/>
          <w:bCs w:val="false"/>
        </w:rPr>
        <w:t>user</w:t>
      </w:r>
      <w:r>
        <w:rPr>
          <w:rStyle w:val="Emphasis"/>
          <w:b w:val="false"/>
          <w:bCs w:val="false"/>
        </w:rPr>
        <w:t>’s ability to maintain focus on the primary robot?</w:t>
      </w:r>
      <w:r>
        <w:rPr>
          <w:b w:val="false"/>
          <w:bCs w:val="false"/>
        </w:rPr>
        <w:t>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Shifts in visual focus (gaze switching)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Count the number of gaze switches between TOM and JERRY (</w:t>
      </w:r>
      <w:r>
        <w:rPr>
          <w:rStyle w:val="Emphasis"/>
        </w:rPr>
        <w:t>switches</w:t>
      </w:r>
      <w:r>
        <w:rPr/>
        <w:t>).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Analyze whether the frequency of switches increases significantly once JERRY begins to dance.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Captures the extent of distraction induced by external robotic movement.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27"/>
        </w:numPr>
        <w:rPr/>
      </w:pPr>
      <w:r>
        <w:rPr>
          <w:rStyle w:val="Strong"/>
        </w:rPr>
        <w:t>Distraction scale analysis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Examine the distribution of scores on the </w:t>
      </w:r>
      <w:r>
        <w:rPr>
          <w:rStyle w:val="Emphasis"/>
        </w:rPr>
        <w:t>distraction_scale (1–5)</w:t>
      </w:r>
      <w:r>
        <w:rPr/>
        <w:t xml:space="preserve"> assigned by observers.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Apply descriptive statistics (means, standard deviations, histograms) and, if necessary, non-parametric tests (e.g., Wilcoxon).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Provides a general overview of attentional tendencies (continuous attention to TOM, divided attention, or full distraction).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Exploratory analysis of child’s dancing behavior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Relate the percentage of time the child spends dancing or moving (</w:t>
      </w:r>
      <w:r>
        <w:rPr>
          <w:rStyle w:val="Emphasis"/>
        </w:rPr>
        <w:t>dancing_time %</w:t>
      </w:r>
      <w:r>
        <w:rPr/>
        <w:t>) with their attention to TOM.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Addresses the question: </w:t>
      </w:r>
      <w:r>
        <w:rPr>
          <w:rStyle w:val="Emphasis"/>
          <w:b w:val="false"/>
          <w:bCs w:val="false"/>
        </w:rPr>
        <w:t>does physical engagement increase or reduce attention to the primary robot?</w:t>
      </w:r>
    </w:p>
    <w:p>
      <w:pPr>
        <w:pStyle w:val="BodyText"/>
        <w:numPr>
          <w:ilvl w:val="0"/>
          <w:numId w:val="0"/>
        </w:numPr>
        <w:ind w:hanging="0" w:left="0"/>
        <w:rPr>
          <w:rStyle w:val="Emphas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Qualitative / Observational data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Include spontaneous comments, emotional expressions, and signs of enthusiasm or frustration.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Complements the quantitative measures and helps address RQ1 </w:t>
      </w:r>
      <w:r>
        <w:rPr>
          <w:b w:val="false"/>
          <w:bCs w:val="false"/>
        </w:rPr>
        <w:t>(</w:t>
      </w:r>
      <w:r>
        <w:rPr>
          <w:rStyle w:val="Emphasis"/>
          <w:b w:val="false"/>
          <w:bCs w:val="false"/>
        </w:rPr>
        <w:t xml:space="preserve">How do external robotic stimuli affect </w:t>
      </w:r>
      <w:r>
        <w:rPr>
          <w:rStyle w:val="Emphasis"/>
          <w:b w:val="false"/>
          <w:bCs w:val="false"/>
        </w:rPr>
        <w:t>user</w:t>
      </w:r>
      <w:r>
        <w:rPr>
          <w:rStyle w:val="Emphasis"/>
          <w:b w:val="false"/>
          <w:bCs w:val="false"/>
        </w:rPr>
        <w:t>’s visual attention?</w:t>
      </w:r>
      <w:r>
        <w:rPr>
          <w:b w:val="false"/>
          <w:bCs w:val="false"/>
        </w:rPr>
        <w:t>).</w:t>
      </w:r>
    </w:p>
    <w:p>
      <w:pPr>
        <w:pStyle w:val="BodyText"/>
        <w:numPr>
          <w:ilvl w:val="0"/>
          <w:numId w:val="0"/>
        </w:numPr>
        <w:ind w:hanging="0" w:left="72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200"/>
        <w:jc w:val="both"/>
        <w:rPr>
          <w:i/>
          <w:i/>
        </w:rPr>
      </w:pPr>
      <w:r>
        <w:rPr>
          <w:i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720"/>
        </w:tabs>
        <w:ind w:left="720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720"/>
        </w:tabs>
        <w:ind w:left="720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720"/>
        </w:tabs>
        <w:ind w:left="720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2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" w:cs="" w:asciiTheme="majorHAnsi" w:cstheme="majorBidi" w:eastAsiaTheme="majorEastAsia" w:hAnsiTheme="maj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06a4a"/>
    <w:pPr>
      <w:widowControl/>
      <w:suppressAutoHyphens w:val="true"/>
      <w:bidi w:val="0"/>
      <w:spacing w:lineRule="auto" w:line="276" w:before="0" w:after="200"/>
      <w:jc w:val="left"/>
    </w:pPr>
    <w:rPr>
      <w:rFonts w:ascii="Calibri Light" w:hAnsi="Calibri Light" w:eastAsia="" w:cs="" w:asciiTheme="majorHAns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a4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4a"/>
    <w:pPr>
      <w:spacing w:lineRule="auto" w:line="271" w:before="200" w:after="0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4a"/>
    <w:pPr>
      <w:spacing w:lineRule="auto" w:line="271" w:before="200" w:after="0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4a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4a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4a"/>
    <w:pPr>
      <w:shd w:val="clear" w:color="auto" w:fill="FFFFFF" w:themeFill="background1"/>
      <w:spacing w:lineRule="auto" w:line="271" w:before="0" w:after="0"/>
      <w:outlineLvl w:val="5"/>
    </w:pPr>
    <w:rPr>
      <w:b/>
      <w:bCs/>
      <w:color w:themeColor="text1" w:themeTint="a6"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4a"/>
    <w:pPr>
      <w:spacing w:before="0" w:after="0"/>
      <w:outlineLvl w:val="6"/>
    </w:pPr>
    <w:rPr>
      <w:b/>
      <w:bCs/>
      <w:i/>
      <w:iCs/>
      <w:color w:themeColor="text1" w:themeTint="a5"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4a"/>
    <w:pPr>
      <w:spacing w:before="0" w:after="0"/>
      <w:outlineLvl w:val="7"/>
    </w:pPr>
    <w:rPr>
      <w:b/>
      <w:bC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4a"/>
    <w:pPr>
      <w:spacing w:lineRule="auto" w:line="271" w:before="0" w:after="0"/>
      <w:outlineLvl w:val="8"/>
    </w:pPr>
    <w:rPr>
      <w:b/>
      <w:bCs/>
      <w:i/>
      <w:iCs/>
      <w:color w:themeColor="text1" w:themeTint="80" w:val="7F7F7F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06a4a"/>
    <w:rPr>
      <w:smallCaps/>
      <w:spacing w:val="5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06a4a"/>
    <w:rPr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06a4a"/>
    <w:rPr>
      <w:i/>
      <w:iCs/>
      <w:smallCaps/>
      <w:spacing w:val="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06a4a"/>
    <w:rPr>
      <w:b/>
      <w:bCs/>
      <w:spacing w:val="5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06a4a"/>
    <w:rPr>
      <w:i/>
      <w:i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06a4a"/>
    <w:rPr>
      <w:b/>
      <w:bCs/>
      <w:color w:themeColor="text1" w:themeTint="a6" w:val="595959"/>
      <w:spacing w:val="5"/>
      <w:shd w:fill="FFFFFF" w:val="clear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06a4a"/>
    <w:rPr>
      <w:b/>
      <w:bCs/>
      <w:i/>
      <w:iCs/>
      <w:color w:themeColor="text1" w:themeTint="a5" w:val="5A5A5A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06a4a"/>
    <w:rPr>
      <w:b/>
      <w:bC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06a4a"/>
    <w:rPr>
      <w:b/>
      <w:bCs/>
      <w:i/>
      <w:iCs/>
      <w:color w:themeColor="text1" w:themeTint="80" w:val="7F7F7F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906a4a"/>
    <w:rPr>
      <w:smallCaps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06a4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06a4a"/>
    <w:rPr>
      <w:b/>
      <w:bCs/>
    </w:rPr>
  </w:style>
  <w:style w:type="character" w:styleId="Emphasis">
    <w:name w:val="Emphasis"/>
    <w:uiPriority w:val="20"/>
    <w:qFormat/>
    <w:rsid w:val="00906a4a"/>
    <w:rPr>
      <w:b/>
      <w:bCs/>
      <w:i/>
      <w:iCs/>
      <w:spacing w:val="10"/>
    </w:rPr>
  </w:style>
  <w:style w:type="character" w:styleId="QuoteChar" w:customStyle="1">
    <w:name w:val="Quote Char"/>
    <w:basedOn w:val="DefaultParagraphFont"/>
    <w:link w:val="Quote"/>
    <w:uiPriority w:val="29"/>
    <w:qFormat/>
    <w:rsid w:val="00906a4a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06a4a"/>
    <w:rPr>
      <w:i/>
      <w:iCs/>
    </w:rPr>
  </w:style>
  <w:style w:type="character" w:styleId="SubtleEmphasis">
    <w:name w:val="Subtle Emphasis"/>
    <w:uiPriority w:val="19"/>
    <w:qFormat/>
    <w:rsid w:val="00906a4a"/>
    <w:rPr>
      <w:i/>
      <w:iCs/>
    </w:rPr>
  </w:style>
  <w:style w:type="character" w:styleId="IntenseEmphasis">
    <w:name w:val="Intense Emphasis"/>
    <w:uiPriority w:val="21"/>
    <w:qFormat/>
    <w:rsid w:val="00906a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a4a"/>
    <w:rPr>
      <w:smallCaps/>
    </w:rPr>
  </w:style>
  <w:style w:type="character" w:styleId="IntenseReference">
    <w:name w:val="Intense Reference"/>
    <w:uiPriority w:val="32"/>
    <w:qFormat/>
    <w:rsid w:val="00906a4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06a4a"/>
    <w:rPr>
      <w:i/>
      <w:iCs/>
      <w:smallCaps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906a4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a4a"/>
    <w:pPr>
      <w:spacing w:lineRule="auto" w:line="240"/>
    </w:pPr>
    <w:rPr>
      <w:rFonts w:eastAsia="" w:eastAsiaTheme="minorEastAsia"/>
      <w:b/>
      <w:bCs/>
      <w:smallCaps/>
      <w:color w:themeColor="text2" w:val="44546A"/>
      <w:spacing w:val="6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06a4a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4a"/>
    <w:pPr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906a4a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6a4a"/>
    <w:pPr>
      <w:spacing w:before="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06a4a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4a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/>
      <w:jc w:val="both"/>
    </w:pPr>
    <w:rPr>
      <w:i/>
      <w:i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a4a"/>
    <w:pPr>
      <w:outlineLvl w:val="9"/>
    </w:pPr>
    <w:rPr/>
  </w:style>
  <w:style w:type="paragraph" w:styleId="PersonalName" w:customStyle="1">
    <w:name w:val="Personal Name"/>
    <w:basedOn w:val="Title"/>
    <w:qFormat/>
    <w:rsid w:val="00906a4a"/>
    <w:pPr/>
    <w:rPr>
      <w:b/>
      <w:caps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ogoSaraiva/blossom-lasige-research/wiki/Runn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-and-w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LibreOffice/24.2.7.2$Linux_X86_64 LibreOffice_project/420$Build-2</Application>
  <AppVersion>15.0000</AppVersion>
  <Pages>5</Pages>
  <Words>794</Words>
  <Characters>4585</Characters>
  <CharactersWithSpaces>5256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2018-06-07T12:58:00Z</dcterms:created>
  <dc:creator>Microsoft Office User</dc:creator>
  <dc:description/>
  <dc:language>pt-PT</dc:language>
  <cp:lastModifiedBy/>
  <dcterms:modified xsi:type="dcterms:W3CDTF">2025-09-12T09:49:27Z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