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Diogo Velozo Xavier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2639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X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LATITUDE 5420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X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AOC 22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