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3A44B347" w14:textId="4085CC37" w:rsidR="008558C6" w:rsidRDefault="00B24926" w:rsidP="00CA5BFC">
      <w:pPr>
        <w:pStyle w:val="a4"/>
        <w:spacing w:before="0" w:after="0"/>
        <w:ind w:firstLine="200"/>
        <w:rPr>
          <w:rFonts w:hint="eastAsia"/>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年）の表題作「ポロポロ」は、連作中で従軍経験を描いてない唯一の作品である特殊な短編であり、小実昌の自伝的な小説である。先行研究では、異言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や虚構と伝記的事実の差異を分析した。それを踏まえて異言「ポロポロ」の意味と「ポロポロ」が連作短編小説の最初の一篇に位置づけられている理由を考察し、異言「ポロポロ」が自己や社会からの逸脱を意味し、父と語り手の対称性から「ポロポロ」が語り手が戦地に赴く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58B705D"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Pr>
          <w:rStyle w:val="aff"/>
          <w:lang w:eastAsia="ja-JP"/>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5BC93E57" w:rsidR="00CA5BFC" w:rsidRDefault="00ED278E" w:rsidP="00EC530F">
      <w:pPr>
        <w:pStyle w:val="a4"/>
        <w:spacing w:before="0" w:after="0"/>
        <w:ind w:firstLineChars="100" w:firstLine="200"/>
        <w:rPr>
          <w:rFonts w:hint="eastAsia"/>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r w:rsidR="005B0A32">
        <w:rPr>
          <w:rFonts w:hint="eastAsia"/>
          <w:lang w:eastAsia="ja-JP"/>
        </w:rPr>
        <w:t>本節では、作品評価と先行研究を確認し、本論の論点を提示する。</w:t>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w:t>
      </w:r>
      <w:r>
        <w:rPr>
          <w:lang w:eastAsia="ja-JP"/>
        </w:rPr>
        <w:lastRenderedPageBreak/>
        <w:t>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rPr>
          <w:lang w:eastAsia="ja-JP"/>
        </w:rPr>
      </w:pPr>
    </w:p>
    <w:p w14:paraId="1F633D99" w14:textId="6ECBFEF1" w:rsidR="00ED278E" w:rsidRDefault="00ED278E" w:rsidP="0052258C">
      <w:pPr>
        <w:pStyle w:val="FirstParagraph"/>
        <w:spacing w:before="0" w:after="0"/>
        <w:ind w:firstLine="200"/>
        <w:rPr>
          <w:rFonts w:hint="eastAsia"/>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9F3A3A">
        <w:rPr>
          <w:rFonts w:hint="eastAsia"/>
          <w:lang w:eastAsia="ja-JP"/>
        </w:rPr>
        <w:t>ただし、</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20"/>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6929ED6" w:rsidR="00BC4C4F" w:rsidRDefault="00E6049B" w:rsidP="00E6049B">
      <w:pPr>
        <w:rPr>
          <w:lang w:eastAsia="ja-JP"/>
        </w:rPr>
      </w:pPr>
      <w:r>
        <w:rPr>
          <w:rFonts w:hint="eastAsia"/>
          <w:lang w:eastAsia="ja-JP"/>
        </w:rPr>
        <w:t>ところで、先行研究では、小実昌の物語への懐疑が取り上げられているものの、</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というより具体的な行為についての議論として進めていきたい。</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78F1045"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構築する際に、小実昌は事実を参照する。</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74D07F6D"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3"/>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7CCA0F24" w:rsidR="004A6FE0" w:rsidRDefault="001732EB" w:rsidP="001732EB">
      <w:pPr>
        <w:ind w:firstLine="200"/>
        <w:rPr>
          <w:lang w:eastAsia="ja-JP"/>
        </w:rPr>
      </w:pPr>
      <w:r>
        <w:rPr>
          <w:rFonts w:hint="eastAsia"/>
          <w:lang w:eastAsia="ja-JP"/>
        </w:rPr>
        <w:t>「ポロポロ」は、物語の形式性が強く意識され、事実を</w:t>
      </w:r>
      <w:r w:rsidR="00B65542">
        <w:rPr>
          <w:rFonts w:hint="eastAsia"/>
          <w:lang w:eastAsia="ja-JP"/>
        </w:rPr>
        <w:t>書けていない</w:t>
      </w:r>
      <w:r>
        <w:rPr>
          <w:rFonts w:hint="eastAsia"/>
          <w:lang w:eastAsia="ja-JP"/>
        </w:rPr>
        <w:t>と小実昌が認めている一方で、事実に依拠することなしには小説</w:t>
      </w:r>
      <w:r w:rsidR="00B65542">
        <w:rPr>
          <w:rFonts w:hint="eastAsia"/>
          <w:lang w:eastAsia="ja-JP"/>
        </w:rPr>
        <w:t>を</w:t>
      </w:r>
      <w:r>
        <w:rPr>
          <w:rFonts w:hint="eastAsia"/>
          <w:lang w:eastAsia="ja-JP"/>
        </w:rPr>
        <w:t>書</w:t>
      </w:r>
      <w:r w:rsidR="00B65542">
        <w:rPr>
          <w:rFonts w:hint="eastAsia"/>
          <w:lang w:eastAsia="ja-JP"/>
        </w:rPr>
        <w:t>いていない</w:t>
      </w:r>
      <w:r>
        <w:rPr>
          <w:rFonts w:hint="eastAsia"/>
          <w:lang w:eastAsia="ja-JP"/>
        </w:rPr>
        <w:t>ジレンマ</w:t>
      </w:r>
      <w:r w:rsidR="00B65542">
        <w:rPr>
          <w:rFonts w:hint="eastAsia"/>
          <w:lang w:eastAsia="ja-JP"/>
        </w:rPr>
        <w:t>をみてとれる</w:t>
      </w:r>
      <w:r>
        <w:rPr>
          <w:rFonts w:hint="eastAsia"/>
          <w:lang w:eastAsia="ja-JP"/>
        </w:rPr>
        <w:t>。</w:t>
      </w:r>
      <w:r w:rsidR="00B65542">
        <w:rPr>
          <w:rFonts w:hint="eastAsia"/>
          <w:lang w:eastAsia="ja-JP"/>
        </w:rPr>
        <w:t>そこで、次節から、小実昌がどのように「体裁」を整え、それによって何が表現されているのか</w:t>
      </w:r>
      <w:r w:rsidR="000E54BE">
        <w:rPr>
          <w:rFonts w:hint="eastAsia"/>
          <w:lang w:eastAsia="ja-JP"/>
        </w:rPr>
        <w:t>に焦点を当てよう</w:t>
      </w:r>
      <w:r w:rsidR="00B65542">
        <w:rPr>
          <w:rFonts w:hint="eastAsia"/>
          <w:lang w:eastAsia="ja-JP"/>
        </w:rPr>
        <w:t>。</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69C86A91"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5F5214">
        <w:rPr>
          <w:rFonts w:hint="eastAsia"/>
          <w:lang w:eastAsia="ja-JP"/>
        </w:rPr>
        <w:t>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3260B1">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3260B1">
      <w:pPr>
        <w:pStyle w:val="ab"/>
        <w:spacing w:before="0" w:after="0"/>
        <w:ind w:leftChars="200" w:left="40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67CDC765"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333D32">
        <w:rPr>
          <w:rFonts w:hint="eastAsia"/>
          <w:lang w:eastAsia="ja-JP"/>
        </w:rPr>
        <w:t>本論では、すでに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AE6984">
        <w:rPr>
          <w:rFonts w:hint="eastAsia"/>
          <w:lang w:eastAsia="ja-JP"/>
        </w:rPr>
        <w:t>ところで</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は『アメン父』のような自伝的かつ伝記的事実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Pr>
          <w:lang w:eastAsia="ja-JP"/>
        </w:rPr>
        <w:t>「ポロポロ」独自の主題</w:t>
      </w:r>
      <w:r w:rsidR="00333D32">
        <w:rPr>
          <w:rFonts w:hint="eastAsia"/>
          <w:lang w:eastAsia="ja-JP"/>
        </w:rPr>
        <w:t>であり、</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AE698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rPr>
          <w:lang w:eastAsia="ja-JP"/>
        </w:rPr>
      </w:pPr>
    </w:p>
    <w:p w14:paraId="0B7082ED" w14:textId="3BB910DF" w:rsidR="00465A47" w:rsidRDefault="00BD464D" w:rsidP="00465A47">
      <w:pPr>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w:t>
      </w:r>
      <w:r>
        <w:rPr>
          <w:lang w:eastAsia="ja-JP"/>
        </w:rPr>
        <w:lastRenderedPageBreak/>
        <w:t>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6FA6ED90" w:rsidR="00581452" w:rsidRDefault="00465A47" w:rsidP="00465A47">
      <w:pPr>
        <w:rPr>
          <w:lang w:eastAsia="ja-JP"/>
        </w:rPr>
      </w:pPr>
      <w:r>
        <w:rPr>
          <w:rFonts w:hint="eastAsia"/>
          <w:lang w:eastAsia="ja-JP"/>
        </w:rPr>
        <w:t>ところで、</w:t>
      </w:r>
      <w:r w:rsidR="00581452">
        <w:rPr>
          <w:rFonts w:hint="eastAsia"/>
          <w:lang w:eastAsia="ja-JP"/>
        </w:rPr>
        <w:t>墓や人魂によって幽霊の出現が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語り手の参照しているフィクションの外の現実に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もう半分要素である排除する者たちの動機を分析する。</w:t>
      </w:r>
    </w:p>
    <w:p w14:paraId="21999A19" w14:textId="77777777" w:rsidR="00465A47" w:rsidRPr="00465A47" w:rsidRDefault="00465A47" w:rsidP="00465A47">
      <w:pPr>
        <w:rPr>
          <w:lang w:eastAsia="ja-JP"/>
        </w:rPr>
      </w:pPr>
    </w:p>
    <w:p w14:paraId="7B13B086" w14:textId="136B2B0E" w:rsidR="00465A47" w:rsidRPr="00465A47" w:rsidRDefault="00465A47" w:rsidP="00B147B8">
      <w:pPr>
        <w:pStyle w:val="af9"/>
      </w:pPr>
      <w:r>
        <w:t xml:space="preserve">2.1 </w:t>
      </w:r>
      <w:proofErr w:type="spellStart"/>
      <w:r w:rsidR="00581452">
        <w:rPr>
          <w:rFonts w:hint="eastAsia"/>
        </w:rPr>
        <w:t>排除の理由</w:t>
      </w:r>
      <w:proofErr w:type="spellEnd"/>
    </w:p>
    <w:p w14:paraId="7CA566D5" w14:textId="3FC42821" w:rsidR="00B147B8" w:rsidRDefault="00CE0898" w:rsidP="00581452">
      <w:pPr>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だとすれば、何も栽培していない畑の用地が狙われたと考えるのが自然だろう。しかし、そもそも排除する者たちはどのような理由から行動をおこしたのだろうか。その答えは物語が参照している現実の歴史の中にある。</w:t>
      </w:r>
    </w:p>
    <w:p w14:paraId="16F5CDDF" w14:textId="6209B533" w:rsidR="00265439" w:rsidRDefault="00CE0898" w:rsidP="00265439">
      <w:pPr>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年からの歴史を確認すべきだろう。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同年には、第二次世界大戦で欧州は戦争に突入した結果としてシベリア鉄道以外の欧州輸入ルートが絶たれたことで、物資不足に伴うインフレーションが深刻になった。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454891">
        <w:rPr>
          <w:rFonts w:hint="eastAsia"/>
          <w:lang w:eastAsia="ja-JP"/>
        </w:rPr>
        <w:t>のだった</w:t>
      </w:r>
      <w:r w:rsidR="009A6CE0">
        <w:rPr>
          <w:rFonts w:hint="eastAsia"/>
          <w:lang w:eastAsia="ja-JP"/>
        </w:rPr>
        <w:t>。</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面積は減った。</w:t>
      </w:r>
      <w:r w:rsidR="0082661F">
        <w:rPr>
          <w:rFonts w:hint="eastAsia"/>
          <w:lang w:eastAsia="ja-JP"/>
        </w:rPr>
        <w:t>つまり、戦時中の経済的困窮と旱魃による食糧不足、農業経営への政府の介入などによって、結果的に畑が拡大した農家が存在したのだ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w:t>
      </w:r>
      <w:r w:rsidR="00265439">
        <w:rPr>
          <w:rFonts w:hint="eastAsia"/>
          <w:lang w:eastAsia="ja-JP"/>
        </w:rPr>
        <w:lastRenderedPageBreak/>
        <w:t>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674EA726"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。これは、</w:t>
      </w:r>
      <w:r>
        <w:rPr>
          <w:rFonts w:hint="eastAsia"/>
          <w:lang w:eastAsia="ja-JP"/>
        </w:rPr>
        <w:t>語り手は住んでいた土地から</w:t>
      </w:r>
      <w:r w:rsidR="004B610D">
        <w:rPr>
          <w:rFonts w:hint="eastAsia"/>
          <w:lang w:eastAsia="ja-JP"/>
        </w:rPr>
        <w:t>排除された結果、</w:t>
      </w:r>
      <w:r>
        <w:rPr>
          <w:rFonts w:hint="eastAsia"/>
          <w:lang w:eastAsia="ja-JP"/>
        </w:rPr>
        <w:t>外へと押し出され、</w:t>
      </w:r>
      <w:r w:rsidR="004B610D">
        <w:rPr>
          <w:rFonts w:hint="eastAsia"/>
          <w:lang w:eastAsia="ja-JP"/>
        </w:rPr>
        <w:t>戦地に向かったと読み替えることができる。</w:t>
      </w:r>
      <w:r w:rsidR="004416B3">
        <w:rPr>
          <w:rFonts w:hint="eastAsia"/>
          <w:lang w:eastAsia="ja-JP"/>
        </w:rPr>
        <w:t>連作短編中</w:t>
      </w:r>
      <w:r w:rsidR="004B610D">
        <w:rPr>
          <w:rFonts w:hint="eastAsia"/>
          <w:lang w:eastAsia="ja-JP"/>
        </w:rPr>
        <w:t>の外への運動の起点こそ、「ポロポロ」にほかならないのだ。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「ポロポロ」で母から伝聞した</w:t>
      </w:r>
      <w:r w:rsidR="000751A9">
        <w:rPr>
          <w:rFonts w:hint="eastAsia"/>
          <w:lang w:eastAsia="ja-JP"/>
        </w:rPr>
        <w:t>父</w:t>
      </w:r>
      <w:r w:rsidR="00F63022">
        <w:rPr>
          <w:rFonts w:hint="eastAsia"/>
          <w:lang w:eastAsia="ja-JP"/>
        </w:rPr>
        <w:t>の来歴からわかるように、父の外への運動を</w:t>
      </w:r>
      <w:r w:rsidR="004B610D">
        <w:rPr>
          <w:rFonts w:hint="eastAsia"/>
          <w:lang w:eastAsia="ja-JP"/>
        </w:rPr>
        <w:t>なぞったものになっている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、すなわち異言「ポロポロ」を中心とした新しい共同体に向かい、それ以上はもう外には</w:t>
      </w:r>
      <w:r w:rsidR="008300E9">
        <w:rPr>
          <w:rFonts w:hint="eastAsia"/>
          <w:lang w:eastAsia="ja-JP"/>
        </w:rPr>
        <w:t>向かわなくなった</w:t>
      </w:r>
      <w:r w:rsidR="009C06EC">
        <w:rPr>
          <w:rFonts w:hint="eastAsia"/>
          <w:lang w:eastAsia="ja-JP"/>
        </w:rPr>
        <w:t>点だ。</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として描かれている</w:t>
      </w:r>
      <w:r w:rsidR="001A6847">
        <w:rPr>
          <w:rFonts w:hint="eastAsia"/>
          <w:lang w:eastAsia="ja-JP"/>
        </w:rPr>
        <w:t>。</w:t>
      </w:r>
    </w:p>
    <w:p w14:paraId="1A344A15" w14:textId="7F59854F" w:rsidR="000F701E" w:rsidRDefault="00067B85" w:rsidP="00432DAA">
      <w:pPr>
        <w:ind w:firstLine="200"/>
        <w:rPr>
          <w:lang w:eastAsia="ja-JP"/>
        </w:rPr>
      </w:pPr>
      <w:r>
        <w:rPr>
          <w:rFonts w:hint="eastAsia"/>
          <w:lang w:eastAsia="ja-JP"/>
        </w:rPr>
        <w:t>本論では語り手の父の独立教会「ポロポロ」について、種助が現実に創始した</w:t>
      </w:r>
      <w:r w:rsidR="0085481E">
        <w:rPr>
          <w:rFonts w:hint="eastAsia"/>
          <w:lang w:eastAsia="ja-JP"/>
        </w:rPr>
        <w:t>アサ会を通じてしか紹介していない。小実昌は体裁</w:t>
      </w:r>
      <w:r w:rsidR="007E3E55">
        <w:rPr>
          <w:rFonts w:hint="eastAsia"/>
          <w:lang w:eastAsia="ja-JP"/>
        </w:rPr>
        <w:t>によって事実を物語にしていた。アサ会を題材にした独立教会は、立地などについてはほぼ現実通りであることを確認した。しかし、そもそも異言「ポロポロ」の語そのものは小実昌が創作であると認めている。次節では、そのことから</w:t>
      </w:r>
      <w:r w:rsidR="005B0B5B">
        <w:rPr>
          <w:rFonts w:hint="eastAsia"/>
          <w:lang w:eastAsia="ja-JP"/>
        </w:rPr>
        <w:t>異言</w:t>
      </w:r>
      <w:r w:rsidR="007E3E55">
        <w:rPr>
          <w:rFonts w:hint="eastAsia"/>
          <w:lang w:eastAsia="ja-JP"/>
        </w:rPr>
        <w:t>「ポロポロ」と黙説法の関係を外への運動という黙説法によって示されている主題</w:t>
      </w:r>
      <w:r w:rsidR="00432DAA">
        <w:rPr>
          <w:rFonts w:hint="eastAsia"/>
          <w:lang w:eastAsia="ja-JP"/>
        </w:rPr>
        <w:t>に基づいて説明しよう。</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2A75B94D" w:rsidR="00C714B8" w:rsidRDefault="00C27813" w:rsidP="00C27813">
      <w:pPr>
        <w:ind w:firstLine="200"/>
        <w:rPr>
          <w:lang w:eastAsia="ja-JP"/>
        </w:rPr>
      </w:pPr>
      <w:r>
        <w:rPr>
          <w:rFonts w:hint="eastAsia"/>
          <w:lang w:eastAsia="ja-JP"/>
        </w:rPr>
        <w:t>そもそも、種助の伝記</w:t>
      </w:r>
      <w:r>
        <w:rPr>
          <w:lang w:eastAsia="ja-JP"/>
        </w:rPr>
        <w:t>『アメン父』で</w:t>
      </w:r>
      <w:r>
        <w:rPr>
          <w:rFonts w:hint="eastAsia"/>
          <w:lang w:eastAsia="ja-JP"/>
        </w:rPr>
        <w:t>は</w:t>
      </w:r>
      <w:r>
        <w:rPr>
          <w:lang w:eastAsia="ja-JP"/>
        </w:rPr>
        <w:t>アサ会について詳細に描かれているのにもかかわらず、異言「ポロポロ」という言葉</w:t>
      </w:r>
      <w:r>
        <w:rPr>
          <w:rFonts w:hint="eastAsia"/>
          <w:lang w:eastAsia="ja-JP"/>
        </w:rPr>
        <w:t>は</w:t>
      </w:r>
      <w:r>
        <w:rPr>
          <w:lang w:eastAsia="ja-JP"/>
        </w:rPr>
        <w:t>一度も登場しない。</w:t>
      </w:r>
      <w:r>
        <w:rPr>
          <w:rFonts w:hint="eastAsia"/>
          <w:lang w:eastAsia="ja-JP"/>
        </w:rPr>
        <w:t>そのことからも、異言「ポロポロ」は創作されていると考えられる。実際に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C714B8">
      <w:pPr>
        <w:ind w:firstLine="200"/>
        <w:rPr>
          <w:lang w:eastAsia="ja-JP"/>
        </w:rPr>
      </w:pPr>
    </w:p>
    <w:p w14:paraId="766653DF" w14:textId="49ABF6BB" w:rsidR="00C714B8" w:rsidRDefault="00C714B8" w:rsidP="00C714B8">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C714B8">
      <w:pPr>
        <w:ind w:firstLine="200"/>
        <w:rPr>
          <w:lang w:eastAsia="ja-JP"/>
        </w:rPr>
      </w:pPr>
      <w:r>
        <w:rPr>
          <w:rFonts w:hint="eastAsia"/>
          <w:lang w:eastAsia="ja-JP"/>
        </w:rPr>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lastRenderedPageBreak/>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73576CA2" w:rsidR="00FD193F" w:rsidRDefault="005B0B5B" w:rsidP="00FD193F">
      <w:pPr>
        <w:ind w:firstLine="200"/>
        <w:rPr>
          <w:lang w:eastAsia="ja-JP"/>
        </w:rPr>
      </w:pPr>
      <w:r>
        <w:rPr>
          <w:rFonts w:hint="eastAsia"/>
          <w:lang w:eastAsia="ja-JP"/>
        </w:rPr>
        <w:t>ここで</w:t>
      </w:r>
      <w:r w:rsidR="00612AFA">
        <w:rPr>
          <w:rFonts w:hint="eastAsia"/>
          <w:lang w:eastAsia="ja-JP"/>
        </w:rPr>
        <w:t>異言「ポロポロ」に、</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と説明している以上の意味付けがなされているように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。まず、異言「ポロポロ」は、パウロに由来しているという推測によってキリスト教を意識させるような言葉に</w:t>
      </w:r>
      <w:r>
        <w:rPr>
          <w:rFonts w:hint="eastAsia"/>
          <w:lang w:eastAsia="ja-JP"/>
        </w:rPr>
        <w:t>させられている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という言い回しからは、</w:t>
      </w:r>
      <w:r w:rsidR="004D698F">
        <w:rPr>
          <w:rFonts w:hint="eastAsia"/>
          <w:lang w:eastAsia="ja-JP"/>
        </w:rPr>
        <w:t>本論で今後も</w:t>
      </w:r>
      <w:r w:rsidR="00AA4746">
        <w:rPr>
          <w:rFonts w:hint="eastAsia"/>
          <w:lang w:eastAsia="ja-JP"/>
        </w:rPr>
        <w:t>引用</w:t>
      </w:r>
      <w:r w:rsidR="004D698F">
        <w:rPr>
          <w:rFonts w:hint="eastAsia"/>
          <w:lang w:eastAsia="ja-JP"/>
        </w:rPr>
        <w:t>していくなかで</w:t>
      </w:r>
      <w:r w:rsidR="00AA4746">
        <w:rPr>
          <w:rFonts w:hint="eastAsia"/>
          <w:lang w:eastAsia="ja-JP"/>
        </w:rPr>
        <w:t>確認され</w:t>
      </w:r>
      <w:r w:rsidR="004D698F">
        <w:rPr>
          <w:rFonts w:hint="eastAsia"/>
          <w:lang w:eastAsia="ja-JP"/>
        </w:rPr>
        <w:t>ていくよう</w:t>
      </w:r>
      <w:r w:rsidR="00AA4746">
        <w:rPr>
          <w:rFonts w:hint="eastAsia"/>
          <w:lang w:eastAsia="ja-JP"/>
        </w:rPr>
        <w:t>に、教会</w:t>
      </w:r>
      <w:r w:rsidR="004D698F">
        <w:rPr>
          <w:rFonts w:hint="eastAsia"/>
          <w:lang w:eastAsia="ja-JP"/>
        </w:rPr>
        <w:t>信者の</w:t>
      </w:r>
      <w:r w:rsidR="00AA4746">
        <w:rPr>
          <w:rFonts w:hint="eastAsia"/>
          <w:lang w:eastAsia="ja-JP"/>
        </w:rPr>
        <w:t>行為を説明する語句として</w:t>
      </w:r>
      <w:r w:rsidR="00612AFA">
        <w:rPr>
          <w:rFonts w:hint="eastAsia"/>
          <w:lang w:eastAsia="ja-JP"/>
        </w:rPr>
        <w:t>異言「ポロポロ」が用いられている</w:t>
      </w:r>
      <w:r w:rsidR="00AA4746">
        <w:rPr>
          <w:rFonts w:hint="eastAsia"/>
          <w:lang w:eastAsia="ja-JP"/>
        </w:rPr>
        <w:t>。</w:t>
      </w:r>
      <w:r w:rsidR="004D698F">
        <w:rPr>
          <w:rFonts w:hint="eastAsia"/>
          <w:lang w:eastAsia="ja-JP"/>
        </w:rPr>
        <w:t>異言</w:t>
      </w:r>
      <w:r w:rsidR="005853DC">
        <w:rPr>
          <w:rFonts w:hint="eastAsia"/>
          <w:lang w:eastAsia="ja-JP"/>
        </w:rPr>
        <w:t>「ポロポロ」は単なる音の表記を超えた語句として使用</w:t>
      </w:r>
      <w:r w:rsidR="004D698F">
        <w:rPr>
          <w:rFonts w:hint="eastAsia"/>
          <w:lang w:eastAsia="ja-JP"/>
        </w:rPr>
        <w:t>されているのだ</w:t>
      </w:r>
      <w:r w:rsidR="005853DC">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るのに対して、異言の行為や共同体の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事実を言葉にすることへのためらい</w:t>
      </w:r>
      <w:r w:rsidR="00FD193F">
        <w:rPr>
          <w:rFonts w:hint="eastAsia"/>
          <w:lang w:eastAsia="ja-JP"/>
        </w:rPr>
        <w:t>の表現として考えられている異言「ポロポロ」を</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どのように使用されているのかを語り手の説明から明らかにしていく。</w:t>
      </w:r>
    </w:p>
    <w:p w14:paraId="0F88B4F9" w14:textId="77777777" w:rsidR="00FD193F" w:rsidRPr="00FD193F" w:rsidRDefault="00FD193F" w:rsidP="00FD193F">
      <w:pPr>
        <w:ind w:firstLine="200"/>
        <w:rPr>
          <w:rFonts w:hint="eastAsia"/>
          <w:lang w:eastAsia="ja-JP"/>
        </w:rPr>
      </w:pPr>
    </w:p>
    <w:p w14:paraId="6AF162C8" w14:textId="36C23671" w:rsidR="00FD193F" w:rsidRDefault="00FD193F" w:rsidP="00FD193F">
      <w:pPr>
        <w:pStyle w:val="af9"/>
        <w:rPr>
          <w:rFonts w:hint="eastAsia"/>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rFonts w:hint="eastAsia"/>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8300E9">
      <w:pPr>
        <w:ind w:leftChars="200" w:left="40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4B626F60"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w:t>
      </w:r>
      <w:r>
        <w:rPr>
          <w:lang w:eastAsia="ja-JP"/>
        </w:rPr>
        <w:lastRenderedPageBreak/>
        <w:t>されている「言葉」とは作中においてどのような意味をもつのかという観点から、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rPr>
          <w:lang w:eastAsia="ja-JP"/>
        </w:rPr>
      </w:pPr>
    </w:p>
    <w:p w14:paraId="31967B72" w14:textId="09077390" w:rsidR="00BD464D" w:rsidRDefault="00BD464D" w:rsidP="008300E9">
      <w:pPr>
        <w:ind w:leftChars="200" w:left="40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2"/>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795974F6" w:rsidR="00BD464D" w:rsidRDefault="00BD464D" w:rsidP="00BD464D">
      <w:pPr>
        <w:ind w:firstLine="200"/>
        <w:rPr>
          <w:lang w:eastAsia="ja-JP"/>
        </w:rPr>
      </w:pPr>
      <w:r>
        <w:rPr>
          <w:lang w:eastAsia="ja-JP"/>
        </w:rPr>
        <w:t>［１］と［２］は、事実を言葉にする物語への内省と先行研究で指摘されている点に相当する。下線部は、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は次の通りだ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w:t>
      </w:r>
      <w:r>
        <w:rPr>
          <w:lang w:eastAsia="ja-JP"/>
        </w:rPr>
        <w:lastRenderedPageBreak/>
        <w:t>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CA5970A" w14:textId="20E99595" w:rsidR="00BD464D"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p>
    <w:p w14:paraId="67A01E97" w14:textId="1BD45ED1" w:rsidR="00BD464D" w:rsidRDefault="00BD464D" w:rsidP="00BD464D">
      <w:pPr>
        <w:ind w:firstLine="200"/>
        <w:rPr>
          <w:lang w:eastAsia="ja-JP"/>
        </w:rPr>
      </w:pPr>
      <w:r>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つの類型</w:t>
      </w:r>
      <w:r>
        <w:rPr>
          <w:lang w:eastAsia="ja-JP"/>
        </w:rPr>
        <w:t>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w:t>
      </w:r>
      <w:r w:rsidR="005D7898">
        <w:rPr>
          <w:lang w:eastAsia="ja-JP"/>
        </w:rPr>
        <w:t>ここで注意すべきなのは、異言「ポロポロ」を唱えていた作中の独立教会が周囲から疎まれていたこと、そして異言「ポロポロ」は「からだがふるえ、涙がでて、もうどうにもとまらなく、ポロポロ始まってしまう</w:t>
      </w:r>
      <w:r w:rsidR="005D7898">
        <w:rPr>
          <w:rStyle w:val="14"/>
        </w:rPr>
        <w:endnoteReference w:id="64"/>
      </w:r>
      <w:r w:rsidR="005D7898">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717143FF" w14:textId="0BDF4FEF" w:rsidR="003F1D96" w:rsidRDefault="003F1D96" w:rsidP="00BD464D">
      <w:pPr>
        <w:pStyle w:val="a4"/>
        <w:spacing w:before="0" w:after="0"/>
        <w:ind w:firstLine="0"/>
        <w:rPr>
          <w:lang w:eastAsia="ja-JP"/>
        </w:rPr>
      </w:pPr>
    </w:p>
    <w:p w14:paraId="110A4804" w14:textId="7824B097" w:rsidR="00C27813" w:rsidRDefault="004372BD" w:rsidP="004372BD">
      <w:pPr>
        <w:pStyle w:val="af9"/>
        <w:rPr>
          <w:rFonts w:hint="eastAsia"/>
        </w:rPr>
      </w:pPr>
      <w:r>
        <w:t xml:space="preserve">4. </w:t>
      </w:r>
      <w:r w:rsidR="00572335">
        <w:rPr>
          <w:rFonts w:hint="eastAsia"/>
          <w:lang w:eastAsia="ja-JP"/>
        </w:rPr>
        <w:t>黙説法</w:t>
      </w:r>
      <w:r>
        <w:rPr>
          <w:rFonts w:hint="eastAsia"/>
          <w:lang w:eastAsia="ja-JP"/>
        </w:rPr>
        <w:t>と異言「ポロポロ」</w:t>
      </w:r>
    </w:p>
    <w:p w14:paraId="3B131864" w14:textId="2E9F19E2" w:rsidR="00AF79AE" w:rsidRDefault="004372BD" w:rsidP="00AF79AE">
      <w:pPr>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本論はこれまで、言葉を使用する技法についての</w:t>
      </w:r>
      <w:r w:rsidR="005D7898">
        <w:rPr>
          <w:rFonts w:hint="eastAsia"/>
          <w:lang w:eastAsia="ja-JP"/>
        </w:rPr>
        <w:t>黙説法と</w:t>
      </w:r>
      <w:r w:rsidR="00AF79AE">
        <w:rPr>
          <w:rFonts w:hint="eastAsia"/>
          <w:lang w:eastAsia="ja-JP"/>
        </w:rPr>
        <w:t>言葉の外部に位置するものである</w:t>
      </w:r>
      <w:r w:rsidR="005D7898">
        <w:rPr>
          <w:rFonts w:hint="eastAsia"/>
          <w:lang w:eastAsia="ja-JP"/>
        </w:rPr>
        <w:t>異言「ポロポロ」</w:t>
      </w:r>
      <w:r w:rsidR="00AF79AE">
        <w:rPr>
          <w:rFonts w:hint="eastAsia"/>
          <w:lang w:eastAsia="ja-JP"/>
        </w:rPr>
        <w:t>を中心に分析をしてきたが、</w:t>
      </w:r>
      <w:r w:rsidR="005D7898">
        <w:rPr>
          <w:rFonts w:hint="eastAsia"/>
          <w:lang w:eastAsia="ja-JP"/>
        </w:rPr>
        <w:t>「体裁」</w:t>
      </w:r>
      <w:r w:rsidR="00AF79AE">
        <w:rPr>
          <w:rFonts w:hint="eastAsia"/>
          <w:lang w:eastAsia="ja-JP"/>
        </w:rPr>
        <w:t>の視座に立</w:t>
      </w:r>
      <w:r w:rsidR="00DF465E">
        <w:rPr>
          <w:rFonts w:hint="eastAsia"/>
          <w:lang w:eastAsia="ja-JP"/>
        </w:rPr>
        <w:t>つと</w:t>
      </w:r>
      <w:r w:rsidR="00AF79AE">
        <w:rPr>
          <w:rFonts w:hint="eastAsia"/>
          <w:lang w:eastAsia="ja-JP"/>
        </w:rPr>
        <w:t>その</w:t>
      </w:r>
      <w:r w:rsidR="00AF79AE">
        <w:rPr>
          <w:rFonts w:hint="eastAsia"/>
          <w:lang w:eastAsia="ja-JP"/>
        </w:rPr>
        <w:t>2</w:t>
      </w:r>
      <w:r w:rsidR="00AF79AE">
        <w:rPr>
          <w:rFonts w:hint="eastAsia"/>
          <w:lang w:eastAsia="ja-JP"/>
        </w:rPr>
        <w:t>つを結び付ける</w:t>
      </w:r>
      <w:r w:rsidR="00DF465E">
        <w:rPr>
          <w:rFonts w:hint="eastAsia"/>
          <w:lang w:eastAsia="ja-JP"/>
        </w:rPr>
        <w:t>ことができる</w:t>
      </w:r>
      <w:r w:rsidR="00AF79AE">
        <w:rPr>
          <w:rFonts w:hint="eastAsia"/>
          <w:lang w:eastAsia="ja-JP"/>
        </w:rPr>
        <w:t>。</w:t>
      </w:r>
    </w:p>
    <w:p w14:paraId="32EFE9DE" w14:textId="5E15F481" w:rsidR="00DF465E" w:rsidRDefault="00AF79AE" w:rsidP="00572335">
      <w:pPr>
        <w:rPr>
          <w:rFonts w:hint="eastAsia"/>
          <w:lang w:eastAsia="ja-JP"/>
        </w:rPr>
      </w:pPr>
      <w:r>
        <w:rPr>
          <w:rFonts w:hint="eastAsia"/>
          <w:lang w:eastAsia="ja-JP"/>
        </w:rPr>
        <w:t>黙説法は戦争に起因する排除の主題を提示していた。異言「ポロポロ」は、「世間」と「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共同体</w:t>
      </w:r>
      <w:r>
        <w:rPr>
          <w:rFonts w:hint="eastAsia"/>
          <w:lang w:eastAsia="ja-JP"/>
        </w:rPr>
        <w:t>に主眼を置いたとき、</w:t>
      </w:r>
      <w:r w:rsidR="00565AB5">
        <w:rPr>
          <w:rFonts w:hint="eastAsia"/>
          <w:lang w:eastAsia="ja-JP"/>
        </w:rPr>
        <w:t>排除の</w:t>
      </w:r>
      <w:r w:rsidR="00DF465E">
        <w:rPr>
          <w:rFonts w:hint="eastAsia"/>
          <w:lang w:eastAsia="ja-JP"/>
        </w:rPr>
        <w:t>主題</w:t>
      </w:r>
      <w:r w:rsidR="00565AB5">
        <w:rPr>
          <w:rFonts w:hint="eastAsia"/>
          <w:lang w:eastAsia="ja-JP"/>
        </w:rPr>
        <w:t>で共通している。黙説法は幽霊との遭遇を土地の収奪と結びつけるように作用し、「世間の言葉」に反駁することで共同体から疎まれる存在になる。「自分</w:t>
      </w:r>
      <w:r w:rsidR="00DF465E">
        <w:rPr>
          <w:rFonts w:hint="eastAsia"/>
          <w:lang w:eastAsia="ja-JP"/>
        </w:rPr>
        <w:t>」についても同様の平行関係にある。黙説法は語り手が戦争のために共同体から外に</w:t>
      </w:r>
      <w:r w:rsidR="00572335">
        <w:rPr>
          <w:rFonts w:hint="eastAsia"/>
          <w:lang w:eastAsia="ja-JP"/>
        </w:rPr>
        <w:t>出ていき、父が異言を発するようになるまで居場所を変えていく</w:t>
      </w:r>
      <w:r w:rsidR="00DF465E">
        <w:rPr>
          <w:rFonts w:hint="eastAsia"/>
          <w:lang w:eastAsia="ja-JP"/>
        </w:rPr>
        <w:t>姿を暗示し、異言「ポロポロ」も自己の統御からの逸脱を示している。この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となる。その段落とは、</w:t>
      </w:r>
      <w:r w:rsidR="00572335">
        <w:rPr>
          <w:rFonts w:hint="eastAsia"/>
          <w:lang w:eastAsia="ja-JP"/>
        </w:rPr>
        <w:t>以下のとおりである</w:t>
      </w:r>
      <w:r w:rsidR="00DF465E">
        <w:rPr>
          <w:rFonts w:hint="eastAsia"/>
          <w:lang w:eastAsia="ja-JP"/>
        </w:rPr>
        <w:t>。</w:t>
      </w:r>
    </w:p>
    <w:p w14:paraId="5A466FFD" w14:textId="77777777" w:rsidR="004372BD" w:rsidRPr="00265439" w:rsidRDefault="004372BD" w:rsidP="003F1D96">
      <w:pPr>
        <w:rPr>
          <w:rFonts w:hint="eastAsia"/>
          <w:lang w:eastAsia="ja-JP"/>
        </w:rPr>
      </w:pPr>
    </w:p>
    <w:p w14:paraId="18E75A8C" w14:textId="32DE2C45" w:rsidR="003F1D96" w:rsidRDefault="003F1D96" w:rsidP="003F1D96">
      <w:pPr>
        <w:ind w:leftChars="200" w:left="400" w:firstLine="0"/>
        <w:rPr>
          <w:lang w:eastAsia="ja-JP"/>
        </w:rPr>
      </w:pPr>
      <w:r>
        <w:rPr>
          <w:lang w:eastAsia="ja-JP"/>
        </w:rPr>
        <w:lastRenderedPageBreak/>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rPr>
          <w:lang w:eastAsia="ja-JP"/>
        </w:rPr>
      </w:pPr>
    </w:p>
    <w:p w14:paraId="2BC6E1C1" w14:textId="36B3B97A" w:rsidR="00200819" w:rsidRPr="003F1D96" w:rsidRDefault="003F1D96" w:rsidP="00200819">
      <w:pPr>
        <w:rPr>
          <w:rFonts w:hint="eastAsia"/>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w:t>
      </w:r>
      <w:r w:rsidR="009F3A3A">
        <w:rPr>
          <w:rFonts w:hint="eastAsia"/>
          <w:lang w:eastAsia="ja-JP"/>
        </w:rPr>
        <w:t>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こうとしない</w:t>
      </w:r>
      <w:r w:rsidR="00FF57B2">
        <w:rPr>
          <w:rFonts w:hint="eastAsia"/>
          <w:lang w:eastAsia="ja-JP"/>
        </w:rPr>
        <w:t>。</w:t>
      </w:r>
      <w:r w:rsidR="00200819">
        <w:rPr>
          <w:rFonts w:hint="eastAsia"/>
          <w:lang w:eastAsia="ja-JP"/>
        </w:rPr>
        <w:t>この語り手の葛藤は、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200819">
        <w:rPr>
          <w:rFonts w:hint="eastAsia"/>
          <w:lang w:eastAsia="ja-JP"/>
        </w:rPr>
        <w:t>そして、</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「自分」から逸脱していく力に譲歩してしまうとき、語り手は戦地へと赴くのだ。</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運動を引き継</w:t>
      </w:r>
      <w:r w:rsidR="005B0A32">
        <w:rPr>
          <w:rFonts w:hint="eastAsia"/>
          <w:lang w:eastAsia="ja-JP"/>
        </w:rPr>
        <w:t>いだ</w:t>
      </w:r>
      <w:r w:rsidR="00B305F8">
        <w:rPr>
          <w:rFonts w:hint="eastAsia"/>
          <w:lang w:eastAsia="ja-JP"/>
        </w:rPr>
        <w:t>語り手の受難の始まりを告げているのだ。</w:t>
      </w:r>
    </w:p>
    <w:p w14:paraId="11A1E9B8" w14:textId="77777777" w:rsidR="00C9091A" w:rsidRDefault="00C9091A" w:rsidP="00C9091A">
      <w:pPr>
        <w:pStyle w:val="a4"/>
        <w:spacing w:before="0" w:after="0"/>
        <w:ind w:firstLine="200"/>
        <w:rPr>
          <w:lang w:eastAsia="ja-JP"/>
        </w:rPr>
      </w:pPr>
    </w:p>
    <w:p w14:paraId="0B8FEF12" w14:textId="7BC238C2" w:rsidR="00585AFB" w:rsidRDefault="004372BD" w:rsidP="00C9091A">
      <w:pPr>
        <w:pStyle w:val="af9"/>
        <w:rPr>
          <w:lang w:eastAsia="ja-JP"/>
        </w:rPr>
      </w:pPr>
      <w:r>
        <w:rPr>
          <w:rFonts w:hint="eastAsia"/>
          <w:lang w:eastAsia="ja-JP"/>
        </w:rPr>
        <w:t>5</w:t>
      </w:r>
      <w:r w:rsidR="00B24926">
        <w:rPr>
          <w:lang w:eastAsia="ja-JP"/>
        </w:rPr>
        <w:t xml:space="preserve">. </w:t>
      </w:r>
      <w:r w:rsidR="00B24926">
        <w:rPr>
          <w:lang w:eastAsia="ja-JP"/>
        </w:rPr>
        <w:t>結論と課題</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37237" w14:textId="77777777" w:rsidR="005F0CAF" w:rsidRPr="00507BC7" w:rsidRDefault="005F0CAF" w:rsidP="00507BC7">
      <w:pPr>
        <w:pStyle w:val="aff1"/>
        <w:ind w:firstLine="200"/>
      </w:pPr>
    </w:p>
  </w:endnote>
  <w:endnote w:type="continuationSeparator" w:id="0">
    <w:p w14:paraId="1194693C" w14:textId="77777777" w:rsidR="005F0CAF" w:rsidRDefault="005F0CAF">
      <w:pPr>
        <w:ind w:firstLine="200"/>
      </w:pPr>
    </w:p>
  </w:endnote>
  <w:endnote w:type="continuationNotice" w:id="1">
    <w:p w14:paraId="62E7CEF7" w14:textId="77777777" w:rsidR="005F0CAF" w:rsidRDefault="005F0CAF">
      <w:pPr>
        <w:spacing w:line="240" w:lineRule="auto"/>
      </w:pPr>
    </w:p>
  </w:endnote>
  <w:endnote w:id="2">
    <w:p w14:paraId="5B1DA977" w14:textId="4F42EF52" w:rsidR="00DF465E" w:rsidRPr="00500BB7" w:rsidRDefault="00DF465E" w:rsidP="00717310">
      <w:pPr>
        <w:pStyle w:val="15"/>
        <w:ind w:left="270" w:hanging="270"/>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収録作品とそれぞれの初出は以下の通り。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01628BB0" w14:textId="0E0FB06A" w:rsidR="00DF465E" w:rsidRPr="001B0E4A" w:rsidRDefault="00DF465E" w:rsidP="001B0E4A">
      <w:pPr>
        <w:pStyle w:val="15"/>
        <w:ind w:left="270" w:hanging="270"/>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DF465E" w:rsidRPr="00500BB7" w:rsidRDefault="00DF465E" w:rsidP="00717310">
      <w:pPr>
        <w:pStyle w:val="15"/>
        <w:ind w:left="270" w:hanging="270"/>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DF465E" w:rsidRPr="00500BB7" w:rsidRDefault="00DF465E"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DF465E" w:rsidRPr="00500BB7" w:rsidRDefault="00DF465E" w:rsidP="001D3D91">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DF465E" w:rsidRPr="00500BB7" w:rsidRDefault="00DF465E"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DF465E" w:rsidRPr="00500BB7" w:rsidRDefault="00DF465E"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DF465E" w:rsidRPr="00500BB7" w:rsidRDefault="00DF465E"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DF465E" w:rsidRPr="00500BB7" w:rsidRDefault="00DF465E" w:rsidP="00717310">
      <w:pPr>
        <w:pStyle w:val="15"/>
        <w:ind w:left="270" w:hanging="270"/>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DF465E" w:rsidRPr="00500BB7" w:rsidRDefault="00DF465E" w:rsidP="00FD193F">
      <w:pPr>
        <w:pStyle w:val="15"/>
        <w:ind w:left="270" w:hanging="270"/>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6BE467EE"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DF465E" w:rsidRPr="00970A82" w:rsidRDefault="00DF465E"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77777777" w:rsidR="00DF465E" w:rsidRPr="00500BB7" w:rsidRDefault="00DF465E" w:rsidP="001732EB">
      <w:pPr>
        <w:pStyle w:val="15"/>
        <w:ind w:left="270" w:hanging="270"/>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7">
    <w:p w14:paraId="17AD07E9" w14:textId="251BC966"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DF465E" w:rsidRPr="00500BB7" w:rsidRDefault="00DF465E" w:rsidP="00717310">
      <w:pPr>
        <w:pStyle w:val="15"/>
        <w:ind w:left="270" w:hanging="270"/>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DF465E" w:rsidRPr="00500BB7" w:rsidRDefault="00DF465E" w:rsidP="00717310">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DF465E" w:rsidRPr="00500BB7" w:rsidRDefault="00DF465E"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DF465E" w:rsidRDefault="00DF465E" w:rsidP="00453F24">
      <w:pPr>
        <w:pStyle w:val="15"/>
        <w:ind w:left="270" w:hanging="270"/>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05B3B5F0" w:rsidR="00DF465E" w:rsidRPr="00FE1710" w:rsidRDefault="00DF465E" w:rsidP="00FE1710">
      <w:pPr>
        <w:pStyle w:val="15"/>
        <w:ind w:left="270" w:hanging="270"/>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なお、この方法は推理小説に典型である。以下を参考のこと。前掲書、</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565744FC" w:rsidR="00DF465E" w:rsidRPr="007972F9" w:rsidRDefault="00DF465E" w:rsidP="00453F24">
      <w:pPr>
        <w:pStyle w:val="15"/>
        <w:ind w:left="270" w:hanging="270"/>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回想と語りの時点の現在を行き来する典型的な錯時法で、「ポロポロ」は一人称で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年、第1章および2章。</w:t>
      </w:r>
    </w:p>
  </w:endnote>
  <w:endnote w:id="37">
    <w:p w14:paraId="32E32E32" w14:textId="670293A3" w:rsidR="00DF465E" w:rsidRPr="00500BB7" w:rsidRDefault="00DF465E" w:rsidP="00BD464D">
      <w:pPr>
        <w:pStyle w:val="15"/>
        <w:ind w:left="270" w:hanging="270"/>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w:t>
      </w:r>
      <w:proofErr w:type="spellStart"/>
      <w:r w:rsidRPr="00897B60">
        <w:rPr>
          <w:lang w:eastAsia="ja-JP"/>
        </w:rPr>
        <w:t>Poétique</w:t>
      </w:r>
      <w:proofErr w:type="spellEnd"/>
      <w:r w:rsidRPr="00897B60">
        <w:rPr>
          <w:lang w:eastAsia="ja-JP"/>
        </w:rPr>
        <w:t xml:space="preserve">, Paris, </w:t>
      </w:r>
      <w:proofErr w:type="spellStart"/>
      <w:r w:rsidRPr="00897B60">
        <w:rPr>
          <w:lang w:eastAsia="ja-JP"/>
        </w:rPr>
        <w:t>Seuil</w:t>
      </w:r>
      <w:proofErr w:type="spellEnd"/>
      <w:r w:rsidRPr="00897B60">
        <w:rPr>
          <w:lang w:eastAsia="ja-JP"/>
        </w:rPr>
        <w:t>,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21EC8AFE" w:rsidR="00DF465E" w:rsidRPr="00500BB7" w:rsidRDefault="00DF465E" w:rsidP="00453F24">
      <w:pPr>
        <w:pStyle w:val="15"/>
        <w:ind w:left="270" w:hanging="270"/>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DF465E" w:rsidRPr="00500BB7" w:rsidRDefault="00DF465E" w:rsidP="00333D32">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DF465E" w:rsidRPr="00500BB7" w:rsidRDefault="00DF465E"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DF465E" w:rsidRPr="00453F24" w:rsidRDefault="00DF465E"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DF465E" w:rsidRPr="00453F24" w:rsidRDefault="00DF465E" w:rsidP="00453F24">
      <w:pPr>
        <w:pStyle w:val="15"/>
        <w:ind w:left="270" w:hanging="270"/>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DF465E" w:rsidRDefault="00DF465E" w:rsidP="00CE0898">
      <w:pPr>
        <w:pStyle w:val="15"/>
        <w:ind w:left="270" w:hanging="270"/>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DF465E" w:rsidRDefault="00DF465E" w:rsidP="000C5F1A">
      <w:pPr>
        <w:pStyle w:val="15"/>
        <w:ind w:left="270" w:hanging="270"/>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DF465E" w:rsidRDefault="00DF465E" w:rsidP="0082661F">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08CDC63A" w:rsidR="00DF465E" w:rsidRPr="001C7A82" w:rsidRDefault="00DF465E" w:rsidP="001C7A82">
      <w:pPr>
        <w:pStyle w:val="15"/>
        <w:ind w:left="270" w:hanging="270"/>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ただし、大規模農家の解体や小規模農家の統合などの影響を考えると、一般化できない。あくまでも推測である。</w:t>
      </w:r>
    </w:p>
  </w:endnote>
  <w:endnote w:id="55">
    <w:p w14:paraId="65072873" w14:textId="543FB79F" w:rsidR="00DF465E" w:rsidRPr="004B610D" w:rsidRDefault="00DF465E" w:rsidP="004B610D">
      <w:pPr>
        <w:pStyle w:val="15"/>
        <w:ind w:left="270" w:hanging="270"/>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DF465E" w:rsidRPr="004B610D" w:rsidRDefault="00DF465E" w:rsidP="004B610D">
      <w:pPr>
        <w:pStyle w:val="15"/>
        <w:ind w:left="270" w:hanging="270"/>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599FFD2" w:rsidR="00DF465E" w:rsidRPr="00500BB7" w:rsidRDefault="00DF465E" w:rsidP="00604D3E">
      <w:pPr>
        <w:pStyle w:val="15"/>
        <w:ind w:left="270" w:hanging="270"/>
        <w:rPr>
          <w:rFonts w:hint="eastAsia"/>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612CBF8E"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DF465E" w:rsidRPr="00500BB7" w:rsidRDefault="00DF465E"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DF465E" w:rsidRPr="00500BB7" w:rsidRDefault="00DF465E"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3D4626AE" w14:textId="77777777" w:rsidR="00DF465E" w:rsidRPr="00500BB7" w:rsidRDefault="00DF465E" w:rsidP="005D7898">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5">
    <w:p w14:paraId="1A6636A5" w14:textId="0FF7F428" w:rsidR="00DF465E" w:rsidRDefault="00DF465E" w:rsidP="003F1D96">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35</w:t>
      </w:r>
      <w:r w:rsidRPr="00500BB7">
        <w:rPr>
          <w:lang w:eastAsia="ja-JP"/>
        </w:rPr>
        <w:t>頁。</w:t>
      </w:r>
    </w:p>
    <w:p w14:paraId="365E6658" w14:textId="5E890034" w:rsidR="00DF465E" w:rsidRDefault="00DF465E" w:rsidP="003F1D96">
      <w:pPr>
        <w:pStyle w:val="15"/>
        <w:ind w:left="270" w:hanging="270"/>
        <w:rPr>
          <w:lang w:eastAsia="ja-JP"/>
        </w:rPr>
      </w:pPr>
    </w:p>
    <w:p w14:paraId="48D9BA9C" w14:textId="63D8C5D7" w:rsidR="00DF465E" w:rsidRDefault="00DF465E" w:rsidP="003F1D96">
      <w:pPr>
        <w:pStyle w:val="15"/>
        <w:ind w:left="270" w:hanging="270"/>
        <w:rPr>
          <w:lang w:eastAsia="ja-JP"/>
        </w:rPr>
      </w:pPr>
    </w:p>
    <w:p w14:paraId="0E2ABAC6" w14:textId="184C0677" w:rsidR="00DF465E" w:rsidRDefault="00DF465E" w:rsidP="003F1D96">
      <w:pPr>
        <w:pStyle w:val="15"/>
        <w:ind w:left="270" w:hanging="270"/>
        <w:rPr>
          <w:lang w:eastAsia="ja-JP"/>
        </w:rPr>
      </w:pPr>
    </w:p>
    <w:p w14:paraId="37A0B01D" w14:textId="2A911ACF" w:rsidR="00DF465E" w:rsidRDefault="00DF465E" w:rsidP="003F1D96">
      <w:pPr>
        <w:pStyle w:val="15"/>
        <w:ind w:left="270" w:hanging="270"/>
        <w:rPr>
          <w:lang w:eastAsia="ja-JP"/>
        </w:rPr>
      </w:pPr>
    </w:p>
    <w:p w14:paraId="6C01A34A" w14:textId="77777777" w:rsidR="00DF465E" w:rsidRPr="00AF1210" w:rsidRDefault="00DF465E" w:rsidP="00604D3E">
      <w:pPr>
        <w:pStyle w:val="af9"/>
        <w:rPr>
          <w:lang w:val="fr-FR"/>
        </w:rPr>
      </w:pPr>
      <w:proofErr w:type="spellStart"/>
      <w:r>
        <w:rPr>
          <w:rFonts w:hint="eastAsia"/>
        </w:rPr>
        <w:t>参考文献</w:t>
      </w:r>
      <w:proofErr w:type="spellEnd"/>
    </w:p>
    <w:p w14:paraId="15E24300" w14:textId="77777777" w:rsidR="00DF465E" w:rsidRPr="00970A82" w:rsidRDefault="00DF465E" w:rsidP="00604D3E">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243106E2" w14:textId="77777777" w:rsidR="00DF465E" w:rsidRPr="006715D2" w:rsidRDefault="00DF465E" w:rsidP="00604D3E">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07E1C234" w14:textId="77777777" w:rsidR="00DF465E" w:rsidRPr="00970A82" w:rsidRDefault="00DF465E" w:rsidP="00604D3E">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BE7274">
        <w:rPr>
          <w:rFonts w:ascii="ＭＳ 明朝" w:hAnsi="ＭＳ 明朝"/>
          <w:spacing w:val="-4"/>
          <w:lang w:val="fr-FR" w:eastAsia="ja-JP"/>
        </w:rPr>
        <w:t>————</w:t>
      </w:r>
      <w:r w:rsidRPr="00970A82">
        <w:rPr>
          <w:lang w:val="fr-FR" w:eastAsia="zh-CN"/>
        </w:rPr>
        <w:t>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7AE3FDE8" w14:textId="77777777" w:rsidR="00DF465E" w:rsidRDefault="00DF465E" w:rsidP="00604D3E">
      <w:pPr>
        <w:pStyle w:val="aa"/>
        <w:rPr>
          <w:lang w:eastAsia="ja-JP"/>
        </w:rPr>
      </w:pPr>
      <w:r w:rsidRPr="00466168">
        <w:rPr>
          <w:rFonts w:ascii="ＭＳ 明朝" w:hAnsi="ＭＳ 明朝" w:cs="ＭＳ 明朝" w:hint="eastAsia"/>
          <w:lang w:eastAsia="ja-JP"/>
        </w:rPr>
        <w:t>伊藤義孝「田中小実昌論</w:t>
      </w:r>
      <w:r w:rsidRPr="00BE7274">
        <w:rPr>
          <w:rFonts w:ascii="ＭＳ 明朝" w:hAnsi="ＭＳ 明朝"/>
          <w:spacing w:val="-4"/>
          <w:lang w:eastAsia="ja-JP"/>
        </w:rPr>
        <w:t>————</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1790B641" w14:textId="77777777" w:rsidR="00DF465E" w:rsidRDefault="00DF465E" w:rsidP="00604D3E">
      <w:pPr>
        <w:pStyle w:val="aa"/>
        <w:rPr>
          <w:rFonts w:eastAsiaTheme="minorEastAsia"/>
          <w:lang w:eastAsia="ja-JP"/>
        </w:rPr>
      </w:pPr>
      <w:r w:rsidRPr="00466168">
        <w:rPr>
          <w:lang w:eastAsia="ja-JP"/>
        </w:rPr>
        <w:t>枝光泉「日本バプテスト西部教会の歴史</w:t>
      </w:r>
      <w:r w:rsidRPr="00BE7274">
        <w:rPr>
          <w:rFonts w:ascii="ＭＳ 明朝" w:hAnsi="ＭＳ 明朝"/>
          <w:spacing w:val="-4"/>
          <w:lang w:eastAsia="ja-JP"/>
        </w:rPr>
        <w:t>————</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25AC9097" w14:textId="77777777" w:rsidR="00DF465E" w:rsidRPr="00B24926" w:rsidRDefault="00DF465E" w:rsidP="00604D3E">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6833B470" w14:textId="77777777" w:rsidR="00DF465E" w:rsidRDefault="00DF465E" w:rsidP="00604D3E">
      <w:pPr>
        <w:pStyle w:val="aa"/>
        <w:rPr>
          <w:lang w:eastAsia="ja-JP"/>
        </w:rPr>
      </w:pPr>
      <w:r w:rsidRPr="00466168">
        <w:rPr>
          <w:lang w:eastAsia="ja-JP"/>
        </w:rPr>
        <w:t>金丸英子「西南学院とアサ会</w:t>
      </w:r>
      <w:r w:rsidRPr="00BE7274">
        <w:rPr>
          <w:rFonts w:ascii="ＭＳ 明朝" w:hAnsi="ＭＳ 明朝"/>
          <w:spacing w:val="-4"/>
          <w:lang w:eastAsia="ja-JP"/>
        </w:rPr>
        <w:t>————</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229E26BF" w14:textId="77777777" w:rsidR="00DF465E" w:rsidRPr="00B24926" w:rsidRDefault="00DF465E" w:rsidP="00604D3E">
      <w:pPr>
        <w:pStyle w:val="aa"/>
        <w:rPr>
          <w:rFonts w:eastAsiaTheme="minorEastAsia"/>
          <w:lang w:eastAsia="ja-JP"/>
        </w:rPr>
      </w:pPr>
      <w:r w:rsidRPr="00FE1710">
        <w:rPr>
          <w:rFonts w:hint="eastAsia"/>
          <w:lang w:eastAsia="ja-JP"/>
        </w:rPr>
        <w:t>ケイン</w:t>
      </w:r>
      <w:r>
        <w:rPr>
          <w:rFonts w:hint="eastAsia"/>
          <w:lang w:eastAsia="ja-JP"/>
        </w:rPr>
        <w:t>、</w:t>
      </w:r>
      <w:r w:rsidRPr="00FE1710">
        <w:rPr>
          <w:rFonts w:hint="eastAsia"/>
          <w:lang w:eastAsia="ja-JP"/>
        </w:rPr>
        <w:t>ジェイムズ・</w:t>
      </w:r>
      <w:r w:rsidRPr="00FE1710">
        <w:rPr>
          <w:rFonts w:hint="eastAsia"/>
          <w:lang w:eastAsia="ja-JP"/>
        </w:rPr>
        <w:t>M</w:t>
      </w:r>
      <w:r w:rsidRPr="00FE1710">
        <w:rPr>
          <w:rFonts w:hint="eastAsia"/>
          <w:lang w:eastAsia="ja-JP"/>
        </w:rPr>
        <w:t>「冷蔵庫の中の赤ん坊」『エラリイ・クイーンズ・ミステリ・マガジン』田中小実昌訳、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w:t>
      </w:r>
    </w:p>
    <w:p w14:paraId="2841431B" w14:textId="77777777" w:rsidR="00DF465E" w:rsidRDefault="00DF465E" w:rsidP="00604D3E">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6AB834DA" w14:textId="77777777" w:rsidR="00DF465E" w:rsidRPr="00B24926" w:rsidRDefault="00DF465E" w:rsidP="00604D3E">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37D08B6D" w14:textId="77777777" w:rsidR="00DF465E" w:rsidRDefault="00DF465E" w:rsidP="00604D3E">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BE7274">
        <w:rPr>
          <w:rFonts w:ascii="ＭＳ 明朝" w:hAnsi="ＭＳ 明朝"/>
          <w:spacing w:val="-4"/>
          <w:lang w:eastAsia="ja-JP"/>
        </w:rPr>
        <w:t>————</w:t>
      </w:r>
      <w:r w:rsidRPr="00D90D21">
        <w:rPr>
          <w:rFonts w:ascii="ＭＳ 明朝" w:hAnsi="ＭＳ 明朝" w:hint="eastAsia"/>
          <w:lang w:eastAsia="ja-JP"/>
        </w:rPr>
        <w:t>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5681B494" w14:textId="77777777" w:rsidR="00DF465E" w:rsidRPr="00B24926" w:rsidRDefault="00DF465E" w:rsidP="00604D3E">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48F985C1" w14:textId="77777777" w:rsidR="00DF465E" w:rsidRPr="00466168" w:rsidRDefault="00DF465E" w:rsidP="00604D3E">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278D1DD9" w14:textId="77777777" w:rsidR="00DF465E" w:rsidRDefault="00DF465E" w:rsidP="00604D3E">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6BBED46A" w14:textId="77777777" w:rsidR="00DF465E" w:rsidRDefault="00DF465E" w:rsidP="00604D3E">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12E7C465" w14:textId="77777777" w:rsidR="00DF465E" w:rsidRPr="00B24926" w:rsidRDefault="00DF465E" w:rsidP="00604D3E">
      <w:pPr>
        <w:pStyle w:val="aa"/>
        <w:rPr>
          <w:rFonts w:ascii="ＭＳ 明朝" w:hAnsi="ＭＳ 明朝"/>
          <w:lang w:eastAsia="ja-JP"/>
        </w:rPr>
      </w:pP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Pr>
          <w:rFonts w:hint="eastAsia"/>
          <w:lang w:eastAsia="ja-JP"/>
        </w:rPr>
        <w:t>（原著</w:t>
      </w:r>
      <w:r>
        <w:rPr>
          <w:rFonts w:hint="eastAsia"/>
          <w:lang w:eastAsia="ja-JP"/>
        </w:rPr>
        <w:t>1</w:t>
      </w:r>
      <w:r>
        <w:rPr>
          <w:lang w:eastAsia="ja-JP"/>
        </w:rPr>
        <w:t>974</w:t>
      </w:r>
      <w:r>
        <w:rPr>
          <w:rFonts w:hint="eastAsia"/>
          <w:lang w:eastAsia="ja-JP"/>
        </w:rPr>
        <w:t>年）。</w:t>
      </w:r>
    </w:p>
    <w:p w14:paraId="60662118" w14:textId="77777777" w:rsidR="00DF465E" w:rsidRPr="00466168" w:rsidRDefault="00DF465E" w:rsidP="00604D3E">
      <w:pPr>
        <w:pStyle w:val="aa"/>
        <w:rPr>
          <w:lang w:eastAsia="ja-JP"/>
        </w:rPr>
      </w:pPr>
      <w:r w:rsidRPr="00466168">
        <w:rPr>
          <w:rFonts w:ascii="ＭＳ 明朝" w:hAnsi="ＭＳ 明朝" w:cs="ＭＳ 明朝" w:hint="eastAsia"/>
          <w:lang w:eastAsia="ja-JP"/>
        </w:rPr>
        <w:t>富岡幸一郎「祈りの言葉のリレー</w:t>
      </w:r>
      <w:r w:rsidRPr="00BE7274">
        <w:rPr>
          <w:rFonts w:ascii="ＭＳ 明朝" w:hAnsi="ＭＳ 明朝"/>
          <w:spacing w:val="-4"/>
          <w:lang w:eastAsia="ja-JP"/>
        </w:rPr>
        <w:t>————</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49107DB8" w14:textId="77777777" w:rsidR="00DF465E" w:rsidRDefault="00DF465E" w:rsidP="00604D3E">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18B3DA2E" w14:textId="77777777" w:rsidR="00DF465E" w:rsidRPr="00196976" w:rsidRDefault="00DF465E" w:rsidP="00604D3E">
      <w:pPr>
        <w:pStyle w:val="aa"/>
        <w:rPr>
          <w:rFonts w:ascii="ＭＳ 明朝" w:hAnsi="ＭＳ 明朝" w:cs="ＭＳ 明朝"/>
          <w:lang w:eastAsia="ja-JP"/>
        </w:rPr>
      </w:pPr>
      <w:bookmarkStart w:id="1" w:name="_Hlk37916230"/>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bookmarkEnd w:id="1"/>
    <w:p w14:paraId="46C5E47D" w14:textId="77777777" w:rsidR="00DF465E" w:rsidRPr="00650848" w:rsidRDefault="00DF465E" w:rsidP="00604D3E">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30DB57B8" w14:textId="77777777" w:rsidR="00DF465E" w:rsidRPr="00466168" w:rsidRDefault="00DF465E" w:rsidP="00604D3E">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69C0EC2F" w14:textId="77777777" w:rsidR="00DF465E" w:rsidRPr="006715D2" w:rsidRDefault="00DF465E" w:rsidP="00604D3E">
      <w:pPr>
        <w:pStyle w:val="aa"/>
        <w:rPr>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2</w:t>
      </w:r>
      <w:r>
        <w:rPr>
          <w:lang w:eastAsia="ja-JP"/>
        </w:rPr>
        <w:t>006-2008</w:t>
      </w:r>
      <w:r>
        <w:rPr>
          <w:rFonts w:hint="eastAsia"/>
          <w:lang w:eastAsia="ja-JP"/>
        </w:rPr>
        <w:t>年。</w:t>
      </w:r>
    </w:p>
    <w:p w14:paraId="2931A5B6" w14:textId="77777777" w:rsidR="00DF465E" w:rsidRPr="00D90D21" w:rsidRDefault="00DF465E" w:rsidP="00604D3E">
      <w:pPr>
        <w:pStyle w:val="aa"/>
        <w:rPr>
          <w:rFonts w:eastAsiaTheme="minorEastAsia"/>
          <w:lang w:eastAsia="ja-JP"/>
        </w:rPr>
      </w:pPr>
    </w:p>
    <w:p w14:paraId="1BBE3B9C" w14:textId="70AEFA66" w:rsidR="00DF465E" w:rsidRPr="00AF1210" w:rsidRDefault="00DF465E" w:rsidP="00604D3E">
      <w:pPr>
        <w:pStyle w:val="af9"/>
        <w:rPr>
          <w:rFonts w:hint="eastAsia"/>
          <w:lang w:eastAsia="ja-JP"/>
        </w:rPr>
      </w:pPr>
      <w:proofErr w:type="spellStart"/>
      <w:r w:rsidRPr="002179F0">
        <w:rPr>
          <w:rFonts w:hint="eastAsia"/>
        </w:rPr>
        <w:t>謝辞</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60B94" w14:textId="77777777" w:rsidR="005F0CAF" w:rsidRDefault="005F0CAF">
      <w:pPr>
        <w:ind w:firstLine="200"/>
      </w:pPr>
      <w:r>
        <w:separator/>
      </w:r>
    </w:p>
  </w:footnote>
  <w:footnote w:type="continuationSeparator" w:id="0">
    <w:p w14:paraId="7715D150" w14:textId="77777777" w:rsidR="005F0CAF" w:rsidRDefault="005F0CAF">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4498B"/>
    <w:rsid w:val="00063EC5"/>
    <w:rsid w:val="00067B85"/>
    <w:rsid w:val="000751A9"/>
    <w:rsid w:val="00077AC3"/>
    <w:rsid w:val="000C3BCF"/>
    <w:rsid w:val="000C5F1A"/>
    <w:rsid w:val="000E54BE"/>
    <w:rsid w:val="000F701E"/>
    <w:rsid w:val="001046B5"/>
    <w:rsid w:val="00111F6E"/>
    <w:rsid w:val="00155056"/>
    <w:rsid w:val="001732EB"/>
    <w:rsid w:val="001912B0"/>
    <w:rsid w:val="00196976"/>
    <w:rsid w:val="001A6847"/>
    <w:rsid w:val="001B0E4A"/>
    <w:rsid w:val="001C7A82"/>
    <w:rsid w:val="001D3D91"/>
    <w:rsid w:val="001F1DF2"/>
    <w:rsid w:val="00200819"/>
    <w:rsid w:val="002179F0"/>
    <w:rsid w:val="002215F2"/>
    <w:rsid w:val="00257939"/>
    <w:rsid w:val="00265439"/>
    <w:rsid w:val="0027158F"/>
    <w:rsid w:val="002744EF"/>
    <w:rsid w:val="00275AF1"/>
    <w:rsid w:val="002A19DA"/>
    <w:rsid w:val="002C35AD"/>
    <w:rsid w:val="002D3724"/>
    <w:rsid w:val="002E5811"/>
    <w:rsid w:val="00321386"/>
    <w:rsid w:val="0032168B"/>
    <w:rsid w:val="003226CA"/>
    <w:rsid w:val="003260B1"/>
    <w:rsid w:val="00333D32"/>
    <w:rsid w:val="00334EC4"/>
    <w:rsid w:val="00384E02"/>
    <w:rsid w:val="00397F12"/>
    <w:rsid w:val="003A4F2A"/>
    <w:rsid w:val="003A4FBF"/>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97DE5"/>
    <w:rsid w:val="004A6FE0"/>
    <w:rsid w:val="004B610D"/>
    <w:rsid w:val="004D085B"/>
    <w:rsid w:val="004D698F"/>
    <w:rsid w:val="004E1D45"/>
    <w:rsid w:val="004E29B3"/>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53DC"/>
    <w:rsid w:val="00585AFB"/>
    <w:rsid w:val="00590D07"/>
    <w:rsid w:val="00591F31"/>
    <w:rsid w:val="005B0A32"/>
    <w:rsid w:val="005B0B5B"/>
    <w:rsid w:val="005C2873"/>
    <w:rsid w:val="005D17AA"/>
    <w:rsid w:val="005D7898"/>
    <w:rsid w:val="005F0CAF"/>
    <w:rsid w:val="005F5214"/>
    <w:rsid w:val="00604D3E"/>
    <w:rsid w:val="00612AFA"/>
    <w:rsid w:val="00617FCB"/>
    <w:rsid w:val="006431F1"/>
    <w:rsid w:val="00650848"/>
    <w:rsid w:val="0066046A"/>
    <w:rsid w:val="006715D2"/>
    <w:rsid w:val="00680079"/>
    <w:rsid w:val="006877B1"/>
    <w:rsid w:val="006A29F3"/>
    <w:rsid w:val="006D1C8C"/>
    <w:rsid w:val="00717310"/>
    <w:rsid w:val="007353E8"/>
    <w:rsid w:val="007442D3"/>
    <w:rsid w:val="00760871"/>
    <w:rsid w:val="00761753"/>
    <w:rsid w:val="00784D58"/>
    <w:rsid w:val="007972F9"/>
    <w:rsid w:val="007A4562"/>
    <w:rsid w:val="007E0A84"/>
    <w:rsid w:val="007E3E55"/>
    <w:rsid w:val="007E54A8"/>
    <w:rsid w:val="007F221D"/>
    <w:rsid w:val="00804684"/>
    <w:rsid w:val="00806A8A"/>
    <w:rsid w:val="00823B03"/>
    <w:rsid w:val="0082661F"/>
    <w:rsid w:val="00827C56"/>
    <w:rsid w:val="008300E9"/>
    <w:rsid w:val="00842A92"/>
    <w:rsid w:val="0085481E"/>
    <w:rsid w:val="008558C6"/>
    <w:rsid w:val="00865200"/>
    <w:rsid w:val="0087714A"/>
    <w:rsid w:val="00897B60"/>
    <w:rsid w:val="008B46DA"/>
    <w:rsid w:val="008D2479"/>
    <w:rsid w:val="008D6863"/>
    <w:rsid w:val="00940788"/>
    <w:rsid w:val="00953A52"/>
    <w:rsid w:val="00960599"/>
    <w:rsid w:val="00970A82"/>
    <w:rsid w:val="009776B8"/>
    <w:rsid w:val="0098601D"/>
    <w:rsid w:val="009908E9"/>
    <w:rsid w:val="00991E40"/>
    <w:rsid w:val="009A6CE0"/>
    <w:rsid w:val="009C06EC"/>
    <w:rsid w:val="009C1B64"/>
    <w:rsid w:val="009E7FD1"/>
    <w:rsid w:val="009E7FE7"/>
    <w:rsid w:val="009F3A3A"/>
    <w:rsid w:val="009F73D7"/>
    <w:rsid w:val="00A435D6"/>
    <w:rsid w:val="00A50BA8"/>
    <w:rsid w:val="00A55EF2"/>
    <w:rsid w:val="00A655A0"/>
    <w:rsid w:val="00AA4746"/>
    <w:rsid w:val="00AE6984"/>
    <w:rsid w:val="00AF1210"/>
    <w:rsid w:val="00AF79AE"/>
    <w:rsid w:val="00AF79B8"/>
    <w:rsid w:val="00B00212"/>
    <w:rsid w:val="00B04278"/>
    <w:rsid w:val="00B12416"/>
    <w:rsid w:val="00B147B8"/>
    <w:rsid w:val="00B24926"/>
    <w:rsid w:val="00B24AEB"/>
    <w:rsid w:val="00B27D0D"/>
    <w:rsid w:val="00B305F8"/>
    <w:rsid w:val="00B4745C"/>
    <w:rsid w:val="00B51E72"/>
    <w:rsid w:val="00B65542"/>
    <w:rsid w:val="00B86B75"/>
    <w:rsid w:val="00B90A84"/>
    <w:rsid w:val="00B93084"/>
    <w:rsid w:val="00BB0473"/>
    <w:rsid w:val="00BB17CF"/>
    <w:rsid w:val="00BC48D5"/>
    <w:rsid w:val="00BC4C4F"/>
    <w:rsid w:val="00BD464D"/>
    <w:rsid w:val="00BE7274"/>
    <w:rsid w:val="00C12BAC"/>
    <w:rsid w:val="00C27813"/>
    <w:rsid w:val="00C34DEC"/>
    <w:rsid w:val="00C36279"/>
    <w:rsid w:val="00C714B8"/>
    <w:rsid w:val="00C75EFB"/>
    <w:rsid w:val="00C859F2"/>
    <w:rsid w:val="00C8655C"/>
    <w:rsid w:val="00C9091A"/>
    <w:rsid w:val="00CA5BFC"/>
    <w:rsid w:val="00CB6C5F"/>
    <w:rsid w:val="00CE0898"/>
    <w:rsid w:val="00CF2F73"/>
    <w:rsid w:val="00D051F9"/>
    <w:rsid w:val="00D05F30"/>
    <w:rsid w:val="00D15A82"/>
    <w:rsid w:val="00D1710C"/>
    <w:rsid w:val="00D17391"/>
    <w:rsid w:val="00D4430F"/>
    <w:rsid w:val="00D50FCF"/>
    <w:rsid w:val="00D90D21"/>
    <w:rsid w:val="00D95ED5"/>
    <w:rsid w:val="00DB3F42"/>
    <w:rsid w:val="00DC17D2"/>
    <w:rsid w:val="00DC7B60"/>
    <w:rsid w:val="00DD4EB2"/>
    <w:rsid w:val="00DF465E"/>
    <w:rsid w:val="00DF59DB"/>
    <w:rsid w:val="00E050F6"/>
    <w:rsid w:val="00E176A4"/>
    <w:rsid w:val="00E315A3"/>
    <w:rsid w:val="00E470E3"/>
    <w:rsid w:val="00E53EC3"/>
    <w:rsid w:val="00E6049B"/>
    <w:rsid w:val="00E72548"/>
    <w:rsid w:val="00E7381E"/>
    <w:rsid w:val="00E9750E"/>
    <w:rsid w:val="00EA667E"/>
    <w:rsid w:val="00EC530F"/>
    <w:rsid w:val="00EC6B89"/>
    <w:rsid w:val="00ED278E"/>
    <w:rsid w:val="00ED405F"/>
    <w:rsid w:val="00F1582B"/>
    <w:rsid w:val="00F20F75"/>
    <w:rsid w:val="00F32CD5"/>
    <w:rsid w:val="00F33444"/>
    <w:rsid w:val="00F63022"/>
    <w:rsid w:val="00F77F9D"/>
    <w:rsid w:val="00F94BD1"/>
    <w:rsid w:val="00FA4C67"/>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BA602-6BC6-4F13-99D8-2752EA03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5774</TotalTime>
  <Pages>16</Pages>
  <Words>2360</Words>
  <Characters>13458</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18</cp:revision>
  <dcterms:created xsi:type="dcterms:W3CDTF">2020-03-19T02:10:00Z</dcterms:created>
  <dcterms:modified xsi:type="dcterms:W3CDTF">2020-05-04T07:44:00Z</dcterms:modified>
</cp:coreProperties>
</file>