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58B705D"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Pr>
          <w:rStyle w:val="aff"/>
          <w:lang w:eastAsia="ja-JP"/>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3"/>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20"/>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1" w:name="_Hlk37398761"/>
      <w:r w:rsidRPr="0052258C">
        <w:rPr>
          <w:u w:val="single"/>
          <w:lang w:eastAsia="ja-JP"/>
        </w:rPr>
        <w:t>今まで通りの書き方だと、物語がウソとは言いませんけど、すぐ物語になっちゃうし</w:t>
      </w:r>
      <w:bookmarkEnd w:id="1"/>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6929ED6" w:rsidR="00BC4C4F" w:rsidRDefault="00E6049B" w:rsidP="00E6049B">
      <w:pPr>
        <w:rPr>
          <w:lang w:eastAsia="ja-JP"/>
        </w:rPr>
      </w:pPr>
      <w:r>
        <w:rPr>
          <w:rFonts w:hint="eastAsia"/>
          <w:lang w:eastAsia="ja-JP"/>
        </w:rPr>
        <w:t>ところで、先行研究では、小実昌の物語への懐疑が取り上げられているものの、</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というより具体的な行為についての議論として進めていきたい。</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78F1045"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構築する際に、小実昌は事実を参照する。</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74D07F6D"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7CCA0F24" w:rsidR="004A6FE0" w:rsidRDefault="001732EB" w:rsidP="001732EB">
      <w:pPr>
        <w:ind w:firstLine="200"/>
        <w:rPr>
          <w:lang w:eastAsia="ja-JP"/>
        </w:rPr>
      </w:pPr>
      <w:r>
        <w:rPr>
          <w:rFonts w:hint="eastAsia"/>
          <w:lang w:eastAsia="ja-JP"/>
        </w:rPr>
        <w:t>「ポロポロ」は、物語の形式性が強く意識され、事実を</w:t>
      </w:r>
      <w:r w:rsidR="00B65542">
        <w:rPr>
          <w:rFonts w:hint="eastAsia"/>
          <w:lang w:eastAsia="ja-JP"/>
        </w:rPr>
        <w:t>書けていない</w:t>
      </w:r>
      <w:r>
        <w:rPr>
          <w:rFonts w:hint="eastAsia"/>
          <w:lang w:eastAsia="ja-JP"/>
        </w:rPr>
        <w:t>と小実昌が認めている一方で、事実に依拠することなしには小説</w:t>
      </w:r>
      <w:r w:rsidR="00B65542">
        <w:rPr>
          <w:rFonts w:hint="eastAsia"/>
          <w:lang w:eastAsia="ja-JP"/>
        </w:rPr>
        <w:t>を</w:t>
      </w:r>
      <w:r>
        <w:rPr>
          <w:rFonts w:hint="eastAsia"/>
          <w:lang w:eastAsia="ja-JP"/>
        </w:rPr>
        <w:t>書</w:t>
      </w:r>
      <w:r w:rsidR="00B65542">
        <w:rPr>
          <w:rFonts w:hint="eastAsia"/>
          <w:lang w:eastAsia="ja-JP"/>
        </w:rPr>
        <w:t>いていない</w:t>
      </w:r>
      <w:r>
        <w:rPr>
          <w:rFonts w:hint="eastAsia"/>
          <w:lang w:eastAsia="ja-JP"/>
        </w:rPr>
        <w:t>ジレンマ</w:t>
      </w:r>
      <w:r w:rsidR="00B65542">
        <w:rPr>
          <w:rFonts w:hint="eastAsia"/>
          <w:lang w:eastAsia="ja-JP"/>
        </w:rPr>
        <w:t>をみてとれる</w:t>
      </w:r>
      <w:r>
        <w:rPr>
          <w:rFonts w:hint="eastAsia"/>
          <w:lang w:eastAsia="ja-JP"/>
        </w:rPr>
        <w:t>。</w:t>
      </w:r>
      <w:r w:rsidR="00B65542">
        <w:rPr>
          <w:rFonts w:hint="eastAsia"/>
          <w:lang w:eastAsia="ja-JP"/>
        </w:rPr>
        <w:t>そこで、次節から、小実昌がどのように「体裁」を整え、それによって何が表現されているのか</w:t>
      </w:r>
      <w:r w:rsidR="000E54BE">
        <w:rPr>
          <w:rFonts w:hint="eastAsia"/>
          <w:lang w:eastAsia="ja-JP"/>
        </w:rPr>
        <w:t>に焦点を当てよう</w:t>
      </w:r>
      <w:r w:rsidR="00B65542">
        <w:rPr>
          <w:rFonts w:hint="eastAsia"/>
          <w:lang w:eastAsia="ja-JP"/>
        </w:rPr>
        <w:t>。</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69C86A91"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5F5214">
        <w:rPr>
          <w:rFonts w:hint="eastAsia"/>
          <w:lang w:eastAsia="ja-JP"/>
        </w:rPr>
        <w:t>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67CDC765"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333D32">
        <w:rPr>
          <w:rFonts w:hint="eastAsia"/>
          <w:lang w:eastAsia="ja-JP"/>
        </w:rPr>
        <w:t>本論では、すでに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AE6984">
        <w:rPr>
          <w:rFonts w:hint="eastAsia"/>
          <w:lang w:eastAsia="ja-JP"/>
        </w:rPr>
        <w:t>ところで</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Pr>
          <w:lang w:eastAsia="ja-JP"/>
        </w:rPr>
        <w:t>「ポロポロ」独自の主題</w:t>
      </w:r>
      <w:r w:rsidR="00333D32">
        <w:rPr>
          <w:rFonts w:hint="eastAsia"/>
          <w:lang w:eastAsia="ja-JP"/>
        </w:rPr>
        <w:t>であり、</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w:t>
      </w:r>
      <w:r>
        <w:rPr>
          <w:lang w:eastAsia="ja-JP"/>
        </w:rPr>
        <w:lastRenderedPageBreak/>
        <w:t>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6FA6ED90" w:rsidR="00581452" w:rsidRDefault="00465A47" w:rsidP="00465A47">
      <w:pPr>
        <w:rPr>
          <w:lang w:eastAsia="ja-JP"/>
        </w:rPr>
      </w:pPr>
      <w:r>
        <w:rPr>
          <w:rFonts w:hint="eastAsia"/>
          <w:lang w:eastAsia="ja-JP"/>
        </w:rPr>
        <w:t>ところで、</w:t>
      </w:r>
      <w:r w:rsidR="00581452">
        <w:rPr>
          <w:rFonts w:hint="eastAsia"/>
          <w:lang w:eastAsia="ja-JP"/>
        </w:rPr>
        <w:t>墓や人魂によって幽霊の出現が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語り手の参照しているフィクションの外の現実に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proofErr w:type="spellStart"/>
      <w:r w:rsidR="00581452">
        <w:rPr>
          <w:rFonts w:hint="eastAsia"/>
        </w:rPr>
        <w:t>排除の理由</w:t>
      </w:r>
      <w:proofErr w:type="spellEnd"/>
    </w:p>
    <w:p w14:paraId="7CA566D5" w14:textId="3FC42821" w:rsidR="00B147B8" w:rsidRDefault="00CE0898" w:rsidP="00581452">
      <w:pPr>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畑の用地が狙われたと考えるのが自然だろう。しかし、そもそも排除する者たちはどのような理由から行動をおこしたのだろうか。その答えは物語が参照している現実の歴史の中にある。</w:t>
      </w:r>
    </w:p>
    <w:p w14:paraId="16F5CDDF" w14:textId="6209B533"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同年には、第二次世界大戦で欧州は戦争に突入した結果としてシベリア鉄道以外の欧州輸入ルートが絶たれたことで、物資不足に伴うインフレーションが深刻になった。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454891">
        <w:rPr>
          <w:rFonts w:hint="eastAsia"/>
          <w:lang w:eastAsia="ja-JP"/>
        </w:rPr>
        <w:t>のだった</w:t>
      </w:r>
      <w:r w:rsidR="009A6CE0">
        <w:rPr>
          <w:rFonts w:hint="eastAsia"/>
          <w:lang w:eastAsia="ja-JP"/>
        </w:rPr>
        <w:t>。</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82661F">
        <w:rPr>
          <w:rFonts w:hint="eastAsia"/>
          <w:lang w:eastAsia="ja-JP"/>
        </w:rPr>
        <w:t>つまり、戦時中の経済的困窮と旱魃による食糧不足、農業経営への政府の介入などによって、結果的に畑が拡大した農家が存在したのだ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w:t>
      </w:r>
      <w:r w:rsidR="00265439">
        <w:rPr>
          <w:rFonts w:hint="eastAsia"/>
          <w:lang w:eastAsia="ja-JP"/>
        </w:rPr>
        <w:lastRenderedPageBreak/>
        <w:t>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674EA726"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。これは、</w:t>
      </w:r>
      <w:r>
        <w:rPr>
          <w:rFonts w:hint="eastAsia"/>
          <w:lang w:eastAsia="ja-JP"/>
        </w:rPr>
        <w:t>語り手は住んでいた土地から</w:t>
      </w:r>
      <w:r w:rsidR="004B610D">
        <w:rPr>
          <w:rFonts w:hint="eastAsia"/>
          <w:lang w:eastAsia="ja-JP"/>
        </w:rPr>
        <w:t>排除された結果、</w:t>
      </w:r>
      <w:r>
        <w:rPr>
          <w:rFonts w:hint="eastAsia"/>
          <w:lang w:eastAsia="ja-JP"/>
        </w:rPr>
        <w:t>外へと押し出され、</w:t>
      </w:r>
      <w:r w:rsidR="004B610D">
        <w:rPr>
          <w:rFonts w:hint="eastAsia"/>
          <w:lang w:eastAsia="ja-JP"/>
        </w:rPr>
        <w:t>戦地に向かったと読み替えることができる。</w:t>
      </w:r>
      <w:r w:rsidR="004416B3">
        <w:rPr>
          <w:rFonts w:hint="eastAsia"/>
          <w:lang w:eastAsia="ja-JP"/>
        </w:rPr>
        <w:t>連作短編中</w:t>
      </w:r>
      <w:r w:rsidR="004B610D">
        <w:rPr>
          <w:rFonts w:hint="eastAsia"/>
          <w:lang w:eastAsia="ja-JP"/>
        </w:rPr>
        <w:t>の外への運動の起点こそ、「ポロポロ」にほかならないのだ。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「ポロポロ」で母から伝聞した</w:t>
      </w:r>
      <w:r w:rsidR="000751A9">
        <w:rPr>
          <w:rFonts w:hint="eastAsia"/>
          <w:lang w:eastAsia="ja-JP"/>
        </w:rPr>
        <w:t>父</w:t>
      </w:r>
      <w:r w:rsidR="00F63022">
        <w:rPr>
          <w:rFonts w:hint="eastAsia"/>
          <w:lang w:eastAsia="ja-JP"/>
        </w:rPr>
        <w:t>の来歴からわかるように、父の外への運動を</w:t>
      </w:r>
      <w:r w:rsidR="004B610D">
        <w:rPr>
          <w:rFonts w:hint="eastAsia"/>
          <w:lang w:eastAsia="ja-JP"/>
        </w:rPr>
        <w:t>なぞったものになっている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w:t>
      </w:r>
      <w:r w:rsidR="009C06EC">
        <w:rPr>
          <w:rFonts w:hint="eastAsia"/>
          <w:lang w:eastAsia="ja-JP"/>
        </w:rPr>
        <w:t>異言「ポロポロ」を中心とした新しい共同体に</w:t>
      </w:r>
      <w:r w:rsidR="009C06EC">
        <w:rPr>
          <w:rFonts w:hint="eastAsia"/>
          <w:lang w:eastAsia="ja-JP"/>
        </w:rPr>
        <w:t>向かい、それ以上はもう外には</w:t>
      </w:r>
      <w:r w:rsidR="008300E9">
        <w:rPr>
          <w:rFonts w:hint="eastAsia"/>
          <w:lang w:eastAsia="ja-JP"/>
        </w:rPr>
        <w:t>向かわなくなった</w:t>
      </w:r>
      <w:r w:rsidR="009C06EC">
        <w:rPr>
          <w:rFonts w:hint="eastAsia"/>
          <w:lang w:eastAsia="ja-JP"/>
        </w:rPr>
        <w:t>点だ。</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として描かれている</w:t>
      </w:r>
      <w:r w:rsidR="001A6847">
        <w:rPr>
          <w:rFonts w:hint="eastAsia"/>
          <w:lang w:eastAsia="ja-JP"/>
        </w:rPr>
        <w:t>。</w:t>
      </w:r>
    </w:p>
    <w:p w14:paraId="1A344A15" w14:textId="445796A3" w:rsidR="000F701E" w:rsidRDefault="00067B85" w:rsidP="00432DAA">
      <w:pPr>
        <w:ind w:firstLine="200"/>
        <w:rPr>
          <w:rFonts w:hint="eastAsia"/>
          <w:lang w:eastAsia="ja-JP"/>
        </w:rPr>
      </w:pPr>
      <w:r>
        <w:rPr>
          <w:rFonts w:hint="eastAsia"/>
          <w:lang w:eastAsia="ja-JP"/>
        </w:rPr>
        <w:t>本論では語り手の父の独立教会「ポロポロ」について、種助が現実に創始した</w:t>
      </w:r>
      <w:r w:rsidR="0085481E">
        <w:rPr>
          <w:rFonts w:hint="eastAsia"/>
          <w:lang w:eastAsia="ja-JP"/>
        </w:rPr>
        <w:t>アサ会を通じてしか紹介していない。小実昌は体裁</w:t>
      </w:r>
      <w:r w:rsidR="007E3E55">
        <w:rPr>
          <w:rFonts w:hint="eastAsia"/>
          <w:lang w:eastAsia="ja-JP"/>
        </w:rPr>
        <w:t>によって事実を物語にしていた。アサ会を題材にした独立教会は、立地などについてはほぼ現実通りであることを確認した。しかし、そもそも異言「ポロポロ」の語そのものは小実昌が創作であると認めている。次節では、そのことから「ポロポロ」と黙説法の関係を外への運動という黙説法によって示されている主題</w:t>
      </w:r>
      <w:r w:rsidR="00432DAA">
        <w:rPr>
          <w:rFonts w:hint="eastAsia"/>
          <w:lang w:eastAsia="ja-JP"/>
        </w:rPr>
        <w:t>に基づいて説明しよう。</w:t>
      </w:r>
    </w:p>
    <w:p w14:paraId="68C1ACC0" w14:textId="77777777" w:rsidR="003A4FBF" w:rsidRPr="003F1D96" w:rsidRDefault="003A4FBF" w:rsidP="005D17AA">
      <w:pPr>
        <w:ind w:firstLine="200"/>
        <w:rPr>
          <w:lang w:eastAsia="ja-JP"/>
        </w:rPr>
      </w:pPr>
    </w:p>
    <w:p w14:paraId="0ED85782" w14:textId="20D478FA"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異言「ポロポロ」は何を意味しているのか</w:t>
      </w:r>
    </w:p>
    <w:p w14:paraId="5222C079" w14:textId="7545254A" w:rsidR="00C714B8" w:rsidRDefault="00C714B8" w:rsidP="00C714B8">
      <w:pPr>
        <w:ind w:firstLine="200"/>
        <w:rPr>
          <w:lang w:eastAsia="ja-JP"/>
        </w:rPr>
      </w:pPr>
      <w:r>
        <w:rPr>
          <w:rFonts w:hint="eastAsia"/>
          <w:lang w:eastAsia="ja-JP"/>
        </w:rPr>
        <w:t>小実昌は、</w:t>
      </w:r>
      <w:r>
        <w:rPr>
          <w:lang w:eastAsia="ja-JP"/>
        </w:rPr>
        <w:t>平岡篤頼との対談で次のように</w:t>
      </w:r>
      <w:r>
        <w:rPr>
          <w:rFonts w:hint="eastAsia"/>
          <w:lang w:eastAsia="ja-JP"/>
        </w:rPr>
        <w:t>「ポロポロ」が創作であると</w:t>
      </w:r>
      <w:r>
        <w:rPr>
          <w:lang w:eastAsia="ja-JP"/>
        </w:rPr>
        <w:t>証言している。</w:t>
      </w:r>
    </w:p>
    <w:p w14:paraId="1A3ECDB5" w14:textId="77777777" w:rsidR="00C714B8" w:rsidRDefault="00C714B8" w:rsidP="00C714B8">
      <w:pPr>
        <w:ind w:firstLine="200"/>
        <w:rPr>
          <w:lang w:eastAsia="ja-JP"/>
        </w:rPr>
      </w:pPr>
    </w:p>
    <w:p w14:paraId="766653DF" w14:textId="49ABF6BB" w:rsidR="00C714B8" w:rsidRDefault="00C714B8" w:rsidP="00C714B8">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2A765FA9" w:rsidR="00C714B8" w:rsidRDefault="00C714B8" w:rsidP="00C714B8">
      <w:pPr>
        <w:ind w:firstLine="200"/>
        <w:rPr>
          <w:rFonts w:hint="eastAsia"/>
          <w:lang w:eastAsia="ja-JP"/>
        </w:rPr>
      </w:pPr>
      <w:r>
        <w:rPr>
          <w:rFonts w:hint="eastAsia"/>
          <w:lang w:eastAsia="ja-JP"/>
        </w:rPr>
        <w:t>「</w:t>
      </w:r>
      <w:r>
        <w:rPr>
          <w:lang w:eastAsia="ja-JP"/>
        </w:rPr>
        <w:t>一人一人言うことは違うんでね</w:t>
      </w:r>
      <w:r>
        <w:rPr>
          <w:rFonts w:hint="eastAsia"/>
          <w:lang w:eastAsia="ja-JP"/>
        </w:rPr>
        <w:t>」とされているようにアサ会で異言は各人各様であった。さらに、「ポロポロ」は言葉ではなく音を書き起こしたものでしかない。小実昌が「</w:t>
      </w:r>
      <w:r>
        <w:rPr>
          <w:lang w:eastAsia="ja-JP"/>
        </w:rPr>
        <w:t>ただ何か言ってるということだけのこと</w:t>
      </w:r>
      <w:r>
        <w:rPr>
          <w:rFonts w:hint="eastAsia"/>
          <w:lang w:eastAsia="ja-JP"/>
        </w:rPr>
        <w:t>」とする一方で、語り手は次のように説明している。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w:t>
      </w:r>
      <w:r>
        <w:rPr>
          <w:lang w:eastAsia="ja-JP"/>
        </w:rPr>
        <w:lastRenderedPageBreak/>
        <w:t>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6C649C97" w14:textId="4C80E895" w:rsidR="005853DC" w:rsidRDefault="00C714B8" w:rsidP="00BD464D">
      <w:pPr>
        <w:ind w:firstLine="200"/>
        <w:rPr>
          <w:rFonts w:hint="eastAsia"/>
          <w:lang w:eastAsia="ja-JP"/>
        </w:rPr>
      </w:pPr>
      <w:r>
        <w:rPr>
          <w:rFonts w:hint="eastAsia"/>
          <w:lang w:eastAsia="ja-JP"/>
        </w:rPr>
        <w:t>「ポロポロやっている」といっ</w:t>
      </w:r>
      <w:r w:rsidR="005853DC">
        <w:rPr>
          <w:rFonts w:hint="eastAsia"/>
          <w:lang w:eastAsia="ja-JP"/>
        </w:rPr>
        <w:t>たような言い回しやパウロが由来になっているという示唆からは、「ポロポロ」は単なる音の表記を超えた、語句としての使用がうかがえる。また、本節でこれから明らかにしていくように、共同体の行為としての形容を</w:t>
      </w:r>
      <w:r w:rsidR="0052450F">
        <w:rPr>
          <w:rFonts w:hint="eastAsia"/>
          <w:lang w:eastAsia="ja-JP"/>
        </w:rPr>
        <w:t>もたらす</w:t>
      </w:r>
      <w:r w:rsidR="005853DC">
        <w:rPr>
          <w:rFonts w:hint="eastAsia"/>
          <w:lang w:eastAsia="ja-JP"/>
        </w:rPr>
        <w:t>語句となっている。「</w:t>
      </w:r>
      <w:r w:rsidR="005853DC">
        <w:rPr>
          <w:lang w:eastAsia="ja-JP"/>
        </w:rPr>
        <w:t>外部からの意味づけや限定を拒みつづけるもの</w:t>
      </w:r>
      <w:r w:rsidR="005853DC">
        <w:rPr>
          <w:rFonts w:hint="eastAsia"/>
          <w:lang w:eastAsia="ja-JP"/>
        </w:rPr>
        <w:t>」と先行研究で指摘されて</w:t>
      </w:r>
      <w:r w:rsidR="0052450F">
        <w:rPr>
          <w:rFonts w:hint="eastAsia"/>
          <w:lang w:eastAsia="ja-JP"/>
        </w:rPr>
        <w:t>い</w:t>
      </w:r>
      <w:r w:rsidR="005853DC">
        <w:rPr>
          <w:rFonts w:hint="eastAsia"/>
          <w:lang w:eastAsia="ja-JP"/>
        </w:rPr>
        <w:t>るのに対して、異言の行為や共同体の</w:t>
      </w:r>
      <w:r w:rsidR="0052450F">
        <w:rPr>
          <w:rFonts w:hint="eastAsia"/>
          <w:lang w:eastAsia="ja-JP"/>
        </w:rPr>
        <w:t>特徴の説明を通じて</w:t>
      </w:r>
      <w:r w:rsidR="005853DC">
        <w:rPr>
          <w:rFonts w:hint="eastAsia"/>
          <w:lang w:eastAsia="ja-JP"/>
        </w:rPr>
        <w:t>作中で何度も</w:t>
      </w:r>
      <w:r w:rsidR="0052450F">
        <w:rPr>
          <w:rFonts w:hint="eastAsia"/>
          <w:lang w:eastAsia="ja-JP"/>
        </w:rPr>
        <w:t>意味づけが試みられているようにもみえる。</w:t>
      </w:r>
    </w:p>
    <w:p w14:paraId="41DA69EA" w14:textId="77777777" w:rsidR="00C714B8" w:rsidRDefault="00C714B8" w:rsidP="00BD464D">
      <w:pPr>
        <w:ind w:firstLine="200"/>
        <w:rPr>
          <w:lang w:eastAsia="ja-JP"/>
        </w:rPr>
      </w:pPr>
    </w:p>
    <w:p w14:paraId="644CDE40" w14:textId="77777777" w:rsidR="00C714B8" w:rsidRDefault="00C714B8" w:rsidP="00BD464D">
      <w:pPr>
        <w:ind w:firstLine="200"/>
        <w:rPr>
          <w:lang w:eastAsia="ja-JP"/>
        </w:rPr>
      </w:pPr>
    </w:p>
    <w:p w14:paraId="6CF23459" w14:textId="77777777" w:rsidR="00C714B8" w:rsidRDefault="00C714B8" w:rsidP="00BD464D">
      <w:pPr>
        <w:ind w:firstLine="200"/>
        <w:rPr>
          <w:lang w:eastAsia="ja-JP"/>
        </w:rPr>
      </w:pPr>
    </w:p>
    <w:p w14:paraId="005F0A0B" w14:textId="77777777" w:rsidR="00C714B8" w:rsidRDefault="00C714B8" w:rsidP="00BD464D">
      <w:pPr>
        <w:ind w:firstLine="200"/>
        <w:rPr>
          <w:lang w:eastAsia="ja-JP"/>
        </w:rPr>
      </w:pPr>
    </w:p>
    <w:p w14:paraId="15662C19" w14:textId="22CF28DA" w:rsidR="00BD464D" w:rsidRDefault="00BD464D" w:rsidP="00BD464D">
      <w:pPr>
        <w:ind w:firstLine="200"/>
        <w:rPr>
          <w:lang w:eastAsia="ja-JP"/>
        </w:rPr>
      </w:pPr>
      <w:r>
        <w:rPr>
          <w:lang w:eastAsia="ja-JP"/>
        </w:rPr>
        <w:t>語り手は、異言「ポロポロ」について、聖書を参照にしつつさらに考察を進める。</w:t>
      </w:r>
    </w:p>
    <w:p w14:paraId="0BB669C4" w14:textId="77777777" w:rsidR="00BD464D" w:rsidRDefault="00BD464D" w:rsidP="00BD464D">
      <w:pPr>
        <w:ind w:firstLine="200"/>
        <w:rPr>
          <w:lang w:eastAsia="ja-JP"/>
        </w:rPr>
      </w:pPr>
    </w:p>
    <w:p w14:paraId="70043DE5" w14:textId="194BBC34"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46178C6B"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ように、異言「ポロポロ」は「言葉」ならざるものとみなされている。父の教会の祈祷会が終わるときに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rFonts w:hint="eastAsia"/>
          <w:lang w:eastAsia="ja-JP"/>
        </w:rPr>
      </w:pPr>
    </w:p>
    <w:p w14:paraId="6FED22C5" w14:textId="25376459" w:rsidR="00BD464D" w:rsidRDefault="00BD464D" w:rsidP="008300E9">
      <w:pPr>
        <w:ind w:leftChars="200" w:left="40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rFonts w:hint="eastAsia"/>
          <w:lang w:eastAsia="ja-JP"/>
        </w:rPr>
      </w:pPr>
    </w:p>
    <w:p w14:paraId="775BE323" w14:textId="77777777"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rPr>
          <w:lang w:eastAsia="ja-JP"/>
        </w:rPr>
      </w:pPr>
    </w:p>
    <w:p w14:paraId="31967B72" w14:textId="77777777" w:rsidR="00BD464D" w:rsidRDefault="00BD464D" w:rsidP="008300E9">
      <w:pPr>
        <w:ind w:leftChars="200" w:left="40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w:t>
      </w:r>
      <w:r>
        <w:rPr>
          <w:lang w:eastAsia="ja-JP"/>
        </w:rPr>
        <w:lastRenderedPageBreak/>
        <w:t>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Pr>
          <w:lang w:eastAsia="ja-JP"/>
        </w:rPr>
        <w:t>(</w:t>
      </w:r>
      <w:r>
        <w:rPr>
          <w:lang w:eastAsia="ja-JP"/>
        </w:rPr>
        <w:t>傍点は原文ママ</w:t>
      </w:r>
      <w:r>
        <w:rPr>
          <w:rFonts w:hint="eastAsia"/>
          <w:lang w:eastAsia="ja-JP"/>
        </w:rPr>
        <w:t>、</w:t>
      </w:r>
      <w:r>
        <w:rPr>
          <w:lang w:eastAsia="ja-JP"/>
        </w:rPr>
        <w:t>下線部は筆者による</w:t>
      </w:r>
      <w:r>
        <w:rPr>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77777777" w:rsidR="00BD464D" w:rsidRDefault="00BD464D" w:rsidP="00BD464D">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33159CB6" w14:textId="77777777" w:rsidR="00BD464D" w:rsidRDefault="00BD464D" w:rsidP="00BD464D">
      <w:pPr>
        <w:ind w:firstLine="200"/>
        <w:rPr>
          <w:lang w:eastAsia="ja-JP"/>
        </w:rPr>
      </w:pPr>
    </w:p>
    <w:p w14:paraId="5F29D193" w14:textId="458C97D6"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77777777" w:rsidR="00BD464D" w:rsidRDefault="00BD464D" w:rsidP="00BD464D">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w:t>
      </w:r>
      <w:r>
        <w:rPr>
          <w:lang w:eastAsia="ja-JP"/>
        </w:rPr>
        <w:lastRenderedPageBreak/>
        <w:t>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04C27D65" w14:textId="1200A6CF" w:rsidR="00BD464D" w:rsidRDefault="00BD464D" w:rsidP="00BB17CF">
      <w:pPr>
        <w:ind w:firstLine="200"/>
        <w:rPr>
          <w:lang w:eastAsia="ja-JP"/>
        </w:rPr>
      </w:pPr>
      <w:r>
        <w:rPr>
          <w:lang w:eastAsia="ja-JP"/>
        </w:rPr>
        <w:t>異言「ポロポロ」は否定形でしか語られていないため、これまで否定されている「言葉」の分析を行ってきた。そして、「言葉」</w:t>
      </w:r>
      <w:r w:rsidR="00BB17CF">
        <w:rPr>
          <w:rFonts w:hint="eastAsia"/>
          <w:lang w:eastAsia="ja-JP"/>
        </w:rPr>
        <w:t>に</w:t>
      </w:r>
      <w:r>
        <w:rPr>
          <w:lang w:eastAsia="ja-JP"/>
        </w:rPr>
        <w:t>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64"/>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34514CCE" w14:textId="5E6D9370" w:rsidR="00C714B8" w:rsidRDefault="00BD464D" w:rsidP="00C714B8">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w:t>
      </w:r>
    </w:p>
    <w:p w14:paraId="164935CE" w14:textId="6BE55467" w:rsidR="00C9091A" w:rsidRDefault="00BD464D" w:rsidP="00BD464D">
      <w:pPr>
        <w:pStyle w:val="a4"/>
        <w:spacing w:before="0" w:after="0"/>
        <w:ind w:firstLine="0"/>
        <w:rPr>
          <w:lang w:eastAsia="ja-JP"/>
        </w:rPr>
      </w:pPr>
      <w:r>
        <w:rPr>
          <w:lang w:eastAsia="ja-JP"/>
        </w:rPr>
        <w:t>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717143FF" w14:textId="214A7F01" w:rsidR="003F1D96" w:rsidRDefault="003F1D96" w:rsidP="00BD464D">
      <w:pPr>
        <w:pStyle w:val="a4"/>
        <w:spacing w:before="0" w:after="0"/>
        <w:ind w:firstLine="0"/>
        <w:rPr>
          <w:lang w:eastAsia="ja-JP"/>
        </w:rPr>
      </w:pPr>
    </w:p>
    <w:p w14:paraId="400B9F34" w14:textId="77777777" w:rsidR="003F1D96" w:rsidRPr="00265439" w:rsidRDefault="003F1D96" w:rsidP="003F1D96">
      <w:pPr>
        <w:rPr>
          <w:lang w:eastAsia="ja-JP"/>
        </w:rPr>
      </w:pPr>
    </w:p>
    <w:p w14:paraId="18E75A8C" w14:textId="32DE2C45" w:rsidR="003F1D96" w:rsidRDefault="003F1D96" w:rsidP="003F1D96">
      <w:pPr>
        <w:ind w:leftChars="200" w:left="40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4FCBD411" w14:textId="19511A2D" w:rsidR="00991E40" w:rsidRPr="00991E40" w:rsidRDefault="003F1D96" w:rsidP="00991E40">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w:t>
      </w:r>
      <w:r w:rsidR="008300E9">
        <w:rPr>
          <w:rFonts w:hint="eastAsia"/>
          <w:lang w:eastAsia="ja-JP"/>
        </w:rPr>
        <w:t>を</w:t>
      </w:r>
      <w:r>
        <w:rPr>
          <w:lang w:eastAsia="ja-JP"/>
        </w:rPr>
        <w:t>同定</w:t>
      </w:r>
      <w:r w:rsidR="008300E9">
        <w:rPr>
          <w:rFonts w:hint="eastAsia"/>
          <w:lang w:eastAsia="ja-JP"/>
        </w:rPr>
        <w:t>は</w:t>
      </w:r>
      <w:r>
        <w:rPr>
          <w:lang w:eastAsia="ja-JP"/>
        </w:rPr>
        <w:t>できないが、幽霊を指すのだ。まとめれば、語り手は、幽霊の存在を認め</w:t>
      </w:r>
      <w:r>
        <w:rPr>
          <w:lang w:eastAsia="ja-JP"/>
        </w:rPr>
        <w:lastRenderedPageBreak/>
        <w:t>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Pr>
          <w:rFonts w:hint="eastAsia"/>
          <w:lang w:eastAsia="ja-JP"/>
        </w:rPr>
        <w:t>のため</w:t>
      </w:r>
      <w:r>
        <w:rPr>
          <w:lang w:eastAsia="ja-JP"/>
        </w:rPr>
        <w:t>なのだ</w:t>
      </w:r>
      <w:r w:rsidR="00991E40">
        <w:rPr>
          <w:rFonts w:hint="eastAsia"/>
          <w:lang w:eastAsia="ja-JP"/>
        </w:rPr>
        <w:t>。</w:t>
      </w:r>
    </w:p>
    <w:p w14:paraId="41F71C75" w14:textId="77777777" w:rsidR="003F1D96" w:rsidRPr="003F1D96" w:rsidRDefault="003F1D96" w:rsidP="00BD464D">
      <w:pPr>
        <w:pStyle w:val="a4"/>
        <w:spacing w:before="0" w:after="0"/>
        <w:ind w:firstLine="0"/>
        <w:rPr>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23E7FD9A"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proofErr w:type="spellStart"/>
      <w:r w:rsidR="005C2873">
        <w:t>今後の研究</w:t>
      </w:r>
      <w:r>
        <w:t>課題と</w:t>
      </w:r>
      <w:proofErr w:type="spellEnd"/>
      <w:r w:rsidR="00953A52">
        <w:rPr>
          <w:rFonts w:hint="eastAsia"/>
          <w:lang w:eastAsia="ja-JP"/>
        </w:rPr>
        <w:t>する</w:t>
      </w:r>
      <w:r>
        <w:t>。</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on.sato" w:date="2020-04-08T08:33:00Z" w:initials="d">
    <w:p w14:paraId="2C035B3F" w14:textId="21C40B22" w:rsidR="003F1D96" w:rsidRDefault="003F1D96">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464F3" w14:textId="77777777" w:rsidR="00C34DEC" w:rsidRPr="00507BC7" w:rsidRDefault="00C34DEC" w:rsidP="00507BC7">
      <w:pPr>
        <w:pStyle w:val="aff1"/>
        <w:ind w:firstLine="200"/>
      </w:pPr>
    </w:p>
  </w:endnote>
  <w:endnote w:type="continuationSeparator" w:id="0">
    <w:p w14:paraId="2213E7ED" w14:textId="77777777" w:rsidR="00C34DEC" w:rsidRDefault="00C34DEC">
      <w:pPr>
        <w:ind w:firstLine="200"/>
      </w:pPr>
    </w:p>
  </w:endnote>
  <w:endnote w:type="continuationNotice" w:id="1">
    <w:p w14:paraId="72943532" w14:textId="77777777" w:rsidR="00C34DEC" w:rsidRDefault="00C34DEC">
      <w:pPr>
        <w:spacing w:line="240" w:lineRule="auto"/>
      </w:pPr>
    </w:p>
  </w:endnote>
  <w:endnote w:id="2">
    <w:p w14:paraId="5B1DA977" w14:textId="4F42EF52" w:rsidR="003F1D96" w:rsidRPr="00500BB7" w:rsidRDefault="003F1D96" w:rsidP="00717310">
      <w:pPr>
        <w:pStyle w:val="15"/>
        <w:ind w:left="270" w:hanging="270"/>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1B0E4A" w:rsidRPr="001B0E4A" w:rsidRDefault="001B0E4A" w:rsidP="001B0E4A">
      <w:pPr>
        <w:pStyle w:val="15"/>
        <w:ind w:left="270" w:hanging="270"/>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001B0E4A">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3F1D96" w:rsidRPr="00500BB7" w:rsidRDefault="003F1D96" w:rsidP="00717310">
      <w:pPr>
        <w:pStyle w:val="15"/>
        <w:ind w:left="270" w:hanging="270"/>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3F1D96" w:rsidRPr="00500BB7" w:rsidRDefault="003F1D96" w:rsidP="001D3D91">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20AC9854" w14:textId="0D211B9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6BE467EE"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3F1D96" w:rsidRPr="00970A82" w:rsidRDefault="003F1D96"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3F1D96" w:rsidRPr="00500BB7" w:rsidRDefault="003F1D96" w:rsidP="001732EB">
      <w:pPr>
        <w:pStyle w:val="15"/>
        <w:ind w:left="270" w:hanging="270"/>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3F1D96" w:rsidRPr="00500BB7" w:rsidRDefault="003F1D96" w:rsidP="00717310">
      <w:pPr>
        <w:pStyle w:val="15"/>
        <w:ind w:left="270" w:hanging="270"/>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3F1D96" w:rsidRPr="00500BB7" w:rsidRDefault="003F1D96"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3F1D96" w:rsidRDefault="003F1D96" w:rsidP="00453F24">
      <w:pPr>
        <w:pStyle w:val="15"/>
        <w:ind w:left="270" w:hanging="270"/>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05B3B5F0" w:rsidR="003F1D96" w:rsidRPr="00FE1710" w:rsidRDefault="003F1D96" w:rsidP="00FE1710">
      <w:pPr>
        <w:pStyle w:val="15"/>
        <w:ind w:left="270" w:hanging="270"/>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なお、この方法は推理小説に典型である。以下を参考のこと。前掲書、</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sidR="00953A52">
        <w:rPr>
          <w:rFonts w:hint="eastAsia"/>
          <w:lang w:eastAsia="ja-JP"/>
        </w:rPr>
        <w:t>1</w:t>
      </w:r>
      <w:r>
        <w:rPr>
          <w:rFonts w:hint="eastAsia"/>
          <w:lang w:eastAsia="ja-JP"/>
        </w:rPr>
        <w:t>つと考えられる。</w:t>
      </w:r>
    </w:p>
  </w:endnote>
  <w:endnote w:id="36">
    <w:p w14:paraId="7768FD36" w14:textId="565744FC" w:rsidR="003F1D96" w:rsidRPr="007972F9" w:rsidRDefault="003F1D96" w:rsidP="00453F24">
      <w:pPr>
        <w:pStyle w:val="15"/>
        <w:ind w:left="270" w:hanging="270"/>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年、第1章および2章。</w:t>
      </w:r>
    </w:p>
  </w:endnote>
  <w:endnote w:id="37">
    <w:p w14:paraId="32E32E32" w14:textId="670293A3" w:rsidR="003F1D96" w:rsidRPr="00500BB7" w:rsidRDefault="003F1D96" w:rsidP="00BD464D">
      <w:pPr>
        <w:pStyle w:val="15"/>
        <w:ind w:left="270" w:hanging="270"/>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w:t>
      </w:r>
      <w:proofErr w:type="spellStart"/>
      <w:r w:rsidRPr="00897B60">
        <w:rPr>
          <w:lang w:eastAsia="ja-JP"/>
        </w:rPr>
        <w:t>Poétique</w:t>
      </w:r>
      <w:proofErr w:type="spellEnd"/>
      <w:r w:rsidRPr="00897B60">
        <w:rPr>
          <w:lang w:eastAsia="ja-JP"/>
        </w:rPr>
        <w:t xml:space="preserve">, Paris, </w:t>
      </w:r>
      <w:proofErr w:type="spellStart"/>
      <w:r w:rsidRPr="00897B60">
        <w:rPr>
          <w:lang w:eastAsia="ja-JP"/>
        </w:rPr>
        <w:t>Seuil</w:t>
      </w:r>
      <w:proofErr w:type="spellEnd"/>
      <w:r w:rsidRPr="00897B60">
        <w:rPr>
          <w:lang w:eastAsia="ja-JP"/>
        </w:rPr>
        <w:t>,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21EC8AFE" w:rsidR="003F1D96" w:rsidRPr="00500BB7" w:rsidRDefault="003F1D96" w:rsidP="00453F24">
      <w:pPr>
        <w:pStyle w:val="15"/>
        <w:ind w:left="270" w:hanging="270"/>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3F1D96" w:rsidRPr="00500BB7" w:rsidRDefault="003F1D96" w:rsidP="00333D32">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3F1D96" w:rsidRPr="00500BB7" w:rsidRDefault="003F1D96"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3F1D96" w:rsidRPr="00453F24" w:rsidRDefault="003F1D96"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3F1D96" w:rsidRPr="00453F24" w:rsidRDefault="003F1D96"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3F1D96" w:rsidRDefault="003F1D96" w:rsidP="00CE0898">
      <w:pPr>
        <w:pStyle w:val="15"/>
        <w:ind w:left="270" w:hanging="270"/>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 xml:space="preserve">中村隆英『日本の経済統制　</w:t>
      </w:r>
      <w:r w:rsidRPr="009A6CE0">
        <w:rPr>
          <w:rFonts w:hint="eastAsia"/>
          <w:lang w:eastAsia="ja-JP"/>
        </w:rPr>
        <w:t>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3F1D96" w:rsidRDefault="003F1D96" w:rsidP="000C5F1A">
      <w:pPr>
        <w:pStyle w:val="15"/>
        <w:ind w:left="270" w:hanging="270"/>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 xml:space="preserve">野田公夫編『農林資源開発の世紀　</w:t>
      </w:r>
      <w:r w:rsidRPr="000C5F1A">
        <w:rPr>
          <w:rFonts w:hint="eastAsia"/>
          <w:lang w:eastAsia="ja-JP"/>
        </w:rPr>
        <w:t>「資源化」と総力戦体制の比較史』農林資源開発史論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3F1D96" w:rsidRDefault="003F1D96" w:rsidP="0082661F">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8CDC63A" w:rsidR="001C7A82" w:rsidRPr="001C7A82" w:rsidRDefault="001C7A82" w:rsidP="001C7A82">
      <w:pPr>
        <w:pStyle w:val="15"/>
        <w:ind w:left="270" w:hanging="270"/>
        <w:rPr>
          <w:lang w:eastAsia="ja-JP"/>
        </w:rPr>
      </w:pPr>
      <w:r>
        <w:rPr>
          <w:rStyle w:val="aff"/>
        </w:rPr>
        <w:endnoteRef/>
      </w:r>
      <w:r>
        <w:rPr>
          <w:lang w:eastAsia="ja-JP"/>
        </w:rPr>
        <w:t xml:space="preserve">  </w:t>
      </w:r>
      <w:r>
        <w:rPr>
          <w:rFonts w:hint="eastAsia"/>
          <w:lang w:eastAsia="ja-JP"/>
        </w:rPr>
        <w:t>ただし、大規模農家の解体や小規模農家の統合などの影響を</w:t>
      </w:r>
      <w:r w:rsidR="00C8655C">
        <w:rPr>
          <w:rFonts w:hint="eastAsia"/>
          <w:lang w:eastAsia="ja-JP"/>
        </w:rPr>
        <w:t>考えると、一般化</w:t>
      </w:r>
      <w:r w:rsidR="004B610D">
        <w:rPr>
          <w:rFonts w:hint="eastAsia"/>
          <w:lang w:eastAsia="ja-JP"/>
        </w:rPr>
        <w:t>でき</w:t>
      </w:r>
      <w:r w:rsidR="00C8655C">
        <w:rPr>
          <w:rFonts w:hint="eastAsia"/>
          <w:lang w:eastAsia="ja-JP"/>
        </w:rPr>
        <w:t>ない。あくまでも推測である。</w:t>
      </w:r>
    </w:p>
  </w:endnote>
  <w:endnote w:id="55">
    <w:p w14:paraId="65072873" w14:textId="543FB79F" w:rsidR="004B610D" w:rsidRPr="004B610D" w:rsidRDefault="004B610D" w:rsidP="004B610D">
      <w:pPr>
        <w:pStyle w:val="15"/>
        <w:ind w:left="270" w:hanging="270"/>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4B610D" w:rsidRPr="004B610D" w:rsidRDefault="004B610D" w:rsidP="004B610D">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7AC3C56E" w14:textId="77777777" w:rsidR="00C714B8" w:rsidRDefault="00C714B8" w:rsidP="00C714B8">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p w14:paraId="437A1781" w14:textId="77777777" w:rsidR="00C714B8" w:rsidRDefault="00C714B8" w:rsidP="00C714B8">
      <w:pPr>
        <w:pStyle w:val="15"/>
        <w:ind w:left="270" w:hanging="270"/>
        <w:rPr>
          <w:lang w:eastAsia="ja-JP"/>
        </w:rPr>
      </w:pPr>
    </w:p>
    <w:p w14:paraId="3DE48428" w14:textId="77777777" w:rsidR="00C714B8" w:rsidRDefault="00C714B8" w:rsidP="00C714B8">
      <w:pPr>
        <w:pStyle w:val="15"/>
        <w:ind w:left="270" w:hanging="270"/>
        <w:rPr>
          <w:lang w:eastAsia="ja-JP"/>
        </w:rPr>
      </w:pPr>
    </w:p>
    <w:p w14:paraId="02AED9A3" w14:textId="77777777" w:rsidR="00C714B8" w:rsidRDefault="00C714B8" w:rsidP="00C714B8">
      <w:pPr>
        <w:pStyle w:val="15"/>
        <w:ind w:left="270" w:hanging="270"/>
        <w:rPr>
          <w:lang w:eastAsia="ja-JP"/>
        </w:rPr>
      </w:pPr>
    </w:p>
    <w:p w14:paraId="08DFF34C" w14:textId="77777777" w:rsidR="00C714B8" w:rsidRPr="00AF1210" w:rsidRDefault="00C714B8" w:rsidP="00C714B8">
      <w:pPr>
        <w:pStyle w:val="af9"/>
        <w:rPr>
          <w:lang w:val="fr-FR"/>
        </w:rPr>
      </w:pPr>
      <w:r>
        <w:rPr>
          <w:rFonts w:hint="eastAsia"/>
        </w:rPr>
        <w:t>参考文献</w:t>
      </w:r>
    </w:p>
    <w:p w14:paraId="12855D1E" w14:textId="77777777" w:rsidR="00C714B8" w:rsidRPr="00970A82" w:rsidRDefault="00C714B8" w:rsidP="00C714B8">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2151FC57" w14:textId="77777777" w:rsidR="00C714B8" w:rsidRPr="006715D2" w:rsidRDefault="00C714B8" w:rsidP="00C714B8">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614A65E4" w14:textId="77777777" w:rsidR="00C714B8" w:rsidRPr="00970A82" w:rsidRDefault="00C714B8" w:rsidP="00C714B8">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BE7274">
        <w:rPr>
          <w:rFonts w:ascii="ＭＳ 明朝" w:hAnsi="ＭＳ 明朝"/>
          <w:spacing w:val="-4"/>
          <w:lang w:val="fr-FR" w:eastAsia="ja-JP"/>
        </w:rPr>
        <w:t>————</w:t>
      </w:r>
      <w:r w:rsidRPr="00970A82">
        <w:rPr>
          <w:lang w:val="fr-FR" w:eastAsia="zh-CN"/>
        </w:rPr>
        <w:t>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7E33BA92" w14:textId="77777777" w:rsidR="00C714B8" w:rsidRDefault="00C714B8" w:rsidP="00C714B8">
      <w:pPr>
        <w:pStyle w:val="aa"/>
        <w:rPr>
          <w:lang w:eastAsia="ja-JP"/>
        </w:rPr>
      </w:pPr>
      <w:r w:rsidRPr="00466168">
        <w:rPr>
          <w:rFonts w:ascii="ＭＳ 明朝" w:hAnsi="ＭＳ 明朝" w:cs="ＭＳ 明朝" w:hint="eastAsia"/>
          <w:lang w:eastAsia="ja-JP"/>
        </w:rPr>
        <w:t>伊藤義孝「田中小実昌論</w:t>
      </w:r>
      <w:r w:rsidRPr="00BE7274">
        <w:rPr>
          <w:rFonts w:ascii="ＭＳ 明朝" w:hAnsi="ＭＳ 明朝"/>
          <w:spacing w:val="-4"/>
          <w:lang w:eastAsia="ja-JP"/>
        </w:rPr>
        <w:t>————</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21897A5D" w14:textId="77777777" w:rsidR="00C714B8" w:rsidRDefault="00C714B8" w:rsidP="00C714B8">
      <w:pPr>
        <w:pStyle w:val="aa"/>
        <w:rPr>
          <w:rFonts w:eastAsiaTheme="minorEastAsia"/>
          <w:lang w:eastAsia="ja-JP"/>
        </w:rPr>
      </w:pPr>
      <w:r w:rsidRPr="00466168">
        <w:rPr>
          <w:lang w:eastAsia="ja-JP"/>
        </w:rPr>
        <w:t>枝光泉「日本バプテスト西部教会の歴史</w:t>
      </w:r>
      <w:r w:rsidRPr="00BE7274">
        <w:rPr>
          <w:rFonts w:ascii="ＭＳ 明朝" w:hAnsi="ＭＳ 明朝"/>
          <w:spacing w:val="-4"/>
          <w:lang w:eastAsia="ja-JP"/>
        </w:rPr>
        <w:t>————</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3227F70F" w14:textId="77777777" w:rsidR="00C714B8" w:rsidRPr="00B24926" w:rsidRDefault="00C714B8" w:rsidP="00C714B8">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423DD9E8" w14:textId="77777777" w:rsidR="00C714B8" w:rsidRDefault="00C714B8" w:rsidP="00C714B8">
      <w:pPr>
        <w:pStyle w:val="aa"/>
        <w:rPr>
          <w:lang w:eastAsia="ja-JP"/>
        </w:rPr>
      </w:pPr>
      <w:r w:rsidRPr="00466168">
        <w:rPr>
          <w:lang w:eastAsia="ja-JP"/>
        </w:rPr>
        <w:t>金丸英子「西南学院とアサ会</w:t>
      </w:r>
      <w:r w:rsidRPr="00BE7274">
        <w:rPr>
          <w:rFonts w:ascii="ＭＳ 明朝" w:hAnsi="ＭＳ 明朝"/>
          <w:spacing w:val="-4"/>
          <w:lang w:eastAsia="ja-JP"/>
        </w:rPr>
        <w:t>————</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59DD82DB" w14:textId="77777777" w:rsidR="00C714B8" w:rsidRPr="00B24926" w:rsidRDefault="00C714B8" w:rsidP="00C714B8">
      <w:pPr>
        <w:pStyle w:val="aa"/>
        <w:rPr>
          <w:rFonts w:eastAsiaTheme="minorEastAsia"/>
          <w:lang w:eastAsia="ja-JP"/>
        </w:rPr>
      </w:pPr>
      <w:r w:rsidRPr="00FE1710">
        <w:rPr>
          <w:rFonts w:hint="eastAsia"/>
          <w:lang w:eastAsia="ja-JP"/>
        </w:rPr>
        <w:t>ケイン</w:t>
      </w:r>
      <w:r>
        <w:rPr>
          <w:rFonts w:hint="eastAsia"/>
          <w:lang w:eastAsia="ja-JP"/>
        </w:rPr>
        <w:t>、</w:t>
      </w:r>
      <w:r w:rsidRPr="00FE1710">
        <w:rPr>
          <w:rFonts w:hint="eastAsia"/>
          <w:lang w:eastAsia="ja-JP"/>
        </w:rPr>
        <w:t>ジェイムズ・</w:t>
      </w:r>
      <w:r w:rsidRPr="00FE1710">
        <w:rPr>
          <w:rFonts w:hint="eastAsia"/>
          <w:lang w:eastAsia="ja-JP"/>
        </w:rPr>
        <w:t>M</w:t>
      </w:r>
      <w:r w:rsidRPr="00FE1710">
        <w:rPr>
          <w:rFonts w:hint="eastAsia"/>
          <w:lang w:eastAsia="ja-JP"/>
        </w:rPr>
        <w:t>「冷蔵庫の中の赤ん坊」『エラリイ・クイーンズ・ミステリ・マガジン』田中小実昌訳、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w:t>
      </w:r>
    </w:p>
    <w:p w14:paraId="21F1E2C7" w14:textId="77777777" w:rsidR="00C714B8" w:rsidRDefault="00C714B8" w:rsidP="00C714B8">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5795B040" w14:textId="77777777" w:rsidR="00C714B8" w:rsidRPr="00B24926" w:rsidRDefault="00C714B8" w:rsidP="00C714B8">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24977DCA" w14:textId="77777777" w:rsidR="00C714B8" w:rsidRDefault="00C714B8" w:rsidP="00C714B8">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BE7274">
        <w:rPr>
          <w:rFonts w:ascii="ＭＳ 明朝" w:hAnsi="ＭＳ 明朝"/>
          <w:spacing w:val="-4"/>
          <w:lang w:eastAsia="ja-JP"/>
        </w:rPr>
        <w:t>————</w:t>
      </w:r>
      <w:r w:rsidRPr="00D90D21">
        <w:rPr>
          <w:rFonts w:ascii="ＭＳ 明朝" w:hAnsi="ＭＳ 明朝" w:hint="eastAsia"/>
          <w:lang w:eastAsia="ja-JP"/>
        </w:rPr>
        <w:t>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62C16F7E" w14:textId="77777777" w:rsidR="00C714B8" w:rsidRPr="00B24926" w:rsidRDefault="00C714B8" w:rsidP="00C714B8">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31DF2F0F" w14:textId="77777777" w:rsidR="00C714B8" w:rsidRPr="00466168" w:rsidRDefault="00C714B8" w:rsidP="00C714B8">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5A1D16B5" w14:textId="77777777" w:rsidR="00C714B8" w:rsidRDefault="00C714B8" w:rsidP="00C714B8">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28FD09CD" w14:textId="77777777" w:rsidR="00C714B8" w:rsidRDefault="00C714B8" w:rsidP="00C714B8">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0E6DD478" w14:textId="77777777" w:rsidR="00C714B8" w:rsidRPr="00B24926" w:rsidRDefault="00C714B8" w:rsidP="00C714B8">
      <w:pPr>
        <w:pStyle w:val="aa"/>
        <w:rPr>
          <w:rFonts w:ascii="ＭＳ 明朝" w:hAnsi="ＭＳ 明朝"/>
          <w:lang w:eastAsia="ja-JP"/>
        </w:rPr>
      </w:pP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Pr>
          <w:rFonts w:hint="eastAsia"/>
          <w:lang w:eastAsia="ja-JP"/>
        </w:rPr>
        <w:t>（原著</w:t>
      </w:r>
      <w:r>
        <w:rPr>
          <w:rFonts w:hint="eastAsia"/>
          <w:lang w:eastAsia="ja-JP"/>
        </w:rPr>
        <w:t>1</w:t>
      </w:r>
      <w:r>
        <w:rPr>
          <w:lang w:eastAsia="ja-JP"/>
        </w:rPr>
        <w:t>974</w:t>
      </w:r>
      <w:r>
        <w:rPr>
          <w:rFonts w:hint="eastAsia"/>
          <w:lang w:eastAsia="ja-JP"/>
        </w:rPr>
        <w:t>年）。</w:t>
      </w:r>
    </w:p>
    <w:p w14:paraId="267CAEA7" w14:textId="77777777" w:rsidR="00C714B8" w:rsidRPr="00466168" w:rsidRDefault="00C714B8" w:rsidP="00C714B8">
      <w:pPr>
        <w:pStyle w:val="aa"/>
        <w:rPr>
          <w:lang w:eastAsia="ja-JP"/>
        </w:rPr>
      </w:pPr>
      <w:r w:rsidRPr="00466168">
        <w:rPr>
          <w:rFonts w:ascii="ＭＳ 明朝" w:hAnsi="ＭＳ 明朝" w:cs="ＭＳ 明朝" w:hint="eastAsia"/>
          <w:lang w:eastAsia="ja-JP"/>
        </w:rPr>
        <w:t>富岡幸一郎「祈りの言葉のリレー</w:t>
      </w:r>
      <w:r w:rsidRPr="00BE7274">
        <w:rPr>
          <w:rFonts w:ascii="ＭＳ 明朝" w:hAnsi="ＭＳ 明朝"/>
          <w:spacing w:val="-4"/>
          <w:lang w:eastAsia="ja-JP"/>
        </w:rPr>
        <w:t>————</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1844F2D8" w14:textId="77777777" w:rsidR="00C714B8" w:rsidRDefault="00C714B8" w:rsidP="00C714B8">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28250876" w14:textId="77777777" w:rsidR="00C714B8" w:rsidRPr="00196976" w:rsidRDefault="00C714B8" w:rsidP="00C714B8">
      <w:pPr>
        <w:pStyle w:val="aa"/>
        <w:rPr>
          <w:rFonts w:ascii="ＭＳ 明朝" w:hAnsi="ＭＳ 明朝" w:cs="ＭＳ 明朝"/>
          <w:lang w:eastAsia="ja-JP"/>
        </w:rPr>
      </w:pPr>
      <w:bookmarkStart w:id="2" w:name="_Hlk37916230"/>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bookmarkEnd w:id="2"/>
    <w:p w14:paraId="2FC24EFD" w14:textId="77777777" w:rsidR="00C714B8" w:rsidRPr="00650848" w:rsidRDefault="00C714B8" w:rsidP="00C714B8">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4C5D1B9F" w14:textId="77777777" w:rsidR="00C714B8" w:rsidRPr="00466168" w:rsidRDefault="00C714B8" w:rsidP="00C714B8">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2AF98931" w14:textId="77777777" w:rsidR="00C714B8" w:rsidRPr="006715D2" w:rsidRDefault="00C714B8" w:rsidP="00C714B8">
      <w:pPr>
        <w:pStyle w:val="aa"/>
        <w:rPr>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2</w:t>
      </w:r>
      <w:r>
        <w:rPr>
          <w:lang w:eastAsia="ja-JP"/>
        </w:rPr>
        <w:t>006-2008</w:t>
      </w:r>
      <w:r>
        <w:rPr>
          <w:rFonts w:hint="eastAsia"/>
          <w:lang w:eastAsia="ja-JP"/>
        </w:rPr>
        <w:t>年。</w:t>
      </w:r>
    </w:p>
    <w:p w14:paraId="4210DBE4" w14:textId="77777777" w:rsidR="00C714B8" w:rsidRPr="00D90D21" w:rsidRDefault="00C714B8" w:rsidP="00C714B8">
      <w:pPr>
        <w:pStyle w:val="aa"/>
        <w:rPr>
          <w:rFonts w:eastAsiaTheme="minorEastAsia"/>
          <w:lang w:eastAsia="ja-JP"/>
        </w:rPr>
      </w:pPr>
    </w:p>
    <w:p w14:paraId="1BD0916C" w14:textId="77777777" w:rsidR="00C714B8" w:rsidRPr="00500BB7" w:rsidRDefault="00C714B8" w:rsidP="00C714B8">
      <w:pPr>
        <w:pStyle w:val="af9"/>
      </w:pPr>
      <w:r w:rsidRPr="002179F0">
        <w:rPr>
          <w:rFonts w:hint="eastAsia"/>
        </w:rPr>
        <w:t>謝辞</w:t>
      </w:r>
    </w:p>
  </w:endnote>
  <w:endnote w:id="58">
    <w:p w14:paraId="49E494C9" w14:textId="0AC7EEC5"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3F1D96" w:rsidRPr="00500BB7" w:rsidRDefault="003F1D96"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1661C55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A6636A5" w14:textId="77777777" w:rsidR="003F1D96" w:rsidRPr="00AF1210" w:rsidRDefault="003F1D96" w:rsidP="003F1D96">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35</w:t>
      </w:r>
      <w:r w:rsidRPr="00500BB7">
        <w:rPr>
          <w:lang w:eastAsia="ja-JP"/>
        </w:rPr>
        <w:t>頁。</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EBD61" w14:textId="77777777" w:rsidR="00C34DEC" w:rsidRDefault="00C34DEC">
      <w:pPr>
        <w:ind w:firstLine="200"/>
      </w:pPr>
      <w:r>
        <w:separator/>
      </w:r>
    </w:p>
  </w:footnote>
  <w:footnote w:type="continuationSeparator" w:id="0">
    <w:p w14:paraId="4AA50EE1" w14:textId="77777777" w:rsidR="00C34DEC" w:rsidRDefault="00C34DEC">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4498B"/>
    <w:rsid w:val="00063EC5"/>
    <w:rsid w:val="00067B85"/>
    <w:rsid w:val="000751A9"/>
    <w:rsid w:val="00077AC3"/>
    <w:rsid w:val="000C3BCF"/>
    <w:rsid w:val="000C5F1A"/>
    <w:rsid w:val="000E54BE"/>
    <w:rsid w:val="000F701E"/>
    <w:rsid w:val="001046B5"/>
    <w:rsid w:val="00111F6E"/>
    <w:rsid w:val="00155056"/>
    <w:rsid w:val="001732EB"/>
    <w:rsid w:val="001912B0"/>
    <w:rsid w:val="00196976"/>
    <w:rsid w:val="001A6847"/>
    <w:rsid w:val="001B0E4A"/>
    <w:rsid w:val="001C7A82"/>
    <w:rsid w:val="001D3D91"/>
    <w:rsid w:val="002179F0"/>
    <w:rsid w:val="002215F2"/>
    <w:rsid w:val="00257939"/>
    <w:rsid w:val="00265439"/>
    <w:rsid w:val="0027158F"/>
    <w:rsid w:val="002744EF"/>
    <w:rsid w:val="00275AF1"/>
    <w:rsid w:val="002C35AD"/>
    <w:rsid w:val="002D3724"/>
    <w:rsid w:val="002E5811"/>
    <w:rsid w:val="00321386"/>
    <w:rsid w:val="0032168B"/>
    <w:rsid w:val="003226CA"/>
    <w:rsid w:val="003260B1"/>
    <w:rsid w:val="00333D32"/>
    <w:rsid w:val="00334EC4"/>
    <w:rsid w:val="00384E02"/>
    <w:rsid w:val="00397F12"/>
    <w:rsid w:val="003A4F2A"/>
    <w:rsid w:val="003A4FBF"/>
    <w:rsid w:val="003C3C37"/>
    <w:rsid w:val="003F1D96"/>
    <w:rsid w:val="00403999"/>
    <w:rsid w:val="00413DD2"/>
    <w:rsid w:val="00432DAA"/>
    <w:rsid w:val="0043339A"/>
    <w:rsid w:val="004416B3"/>
    <w:rsid w:val="00450DD7"/>
    <w:rsid w:val="00453F24"/>
    <w:rsid w:val="00454891"/>
    <w:rsid w:val="00462439"/>
    <w:rsid w:val="00465A47"/>
    <w:rsid w:val="00466168"/>
    <w:rsid w:val="00497DE5"/>
    <w:rsid w:val="004A6FE0"/>
    <w:rsid w:val="004B610D"/>
    <w:rsid w:val="004D085B"/>
    <w:rsid w:val="004E1D45"/>
    <w:rsid w:val="004E29B3"/>
    <w:rsid w:val="00500BB7"/>
    <w:rsid w:val="00507BC7"/>
    <w:rsid w:val="00511040"/>
    <w:rsid w:val="0052258C"/>
    <w:rsid w:val="0052450F"/>
    <w:rsid w:val="005250D8"/>
    <w:rsid w:val="0052776C"/>
    <w:rsid w:val="00537ADC"/>
    <w:rsid w:val="005441AA"/>
    <w:rsid w:val="005471A7"/>
    <w:rsid w:val="005658CB"/>
    <w:rsid w:val="00581452"/>
    <w:rsid w:val="005853DC"/>
    <w:rsid w:val="00585AFB"/>
    <w:rsid w:val="00590D07"/>
    <w:rsid w:val="00591F31"/>
    <w:rsid w:val="005C2873"/>
    <w:rsid w:val="005D17AA"/>
    <w:rsid w:val="005F5214"/>
    <w:rsid w:val="00617FCB"/>
    <w:rsid w:val="006431F1"/>
    <w:rsid w:val="00650848"/>
    <w:rsid w:val="0066046A"/>
    <w:rsid w:val="006715D2"/>
    <w:rsid w:val="00680079"/>
    <w:rsid w:val="006877B1"/>
    <w:rsid w:val="006A29F3"/>
    <w:rsid w:val="00717310"/>
    <w:rsid w:val="007353E8"/>
    <w:rsid w:val="007442D3"/>
    <w:rsid w:val="00760871"/>
    <w:rsid w:val="00761753"/>
    <w:rsid w:val="00784D58"/>
    <w:rsid w:val="007972F9"/>
    <w:rsid w:val="007A4562"/>
    <w:rsid w:val="007E0A84"/>
    <w:rsid w:val="007E3E55"/>
    <w:rsid w:val="007E54A8"/>
    <w:rsid w:val="007F221D"/>
    <w:rsid w:val="00804684"/>
    <w:rsid w:val="00806A8A"/>
    <w:rsid w:val="00823B03"/>
    <w:rsid w:val="0082661F"/>
    <w:rsid w:val="00827C56"/>
    <w:rsid w:val="008300E9"/>
    <w:rsid w:val="00842A92"/>
    <w:rsid w:val="0085481E"/>
    <w:rsid w:val="00865200"/>
    <w:rsid w:val="0087714A"/>
    <w:rsid w:val="00897B60"/>
    <w:rsid w:val="008B46DA"/>
    <w:rsid w:val="008D2479"/>
    <w:rsid w:val="008D6863"/>
    <w:rsid w:val="00940788"/>
    <w:rsid w:val="00953A52"/>
    <w:rsid w:val="00960599"/>
    <w:rsid w:val="00970A82"/>
    <w:rsid w:val="009776B8"/>
    <w:rsid w:val="0098601D"/>
    <w:rsid w:val="009908E9"/>
    <w:rsid w:val="00991E40"/>
    <w:rsid w:val="009A6CE0"/>
    <w:rsid w:val="009C06EC"/>
    <w:rsid w:val="009C1B64"/>
    <w:rsid w:val="009E7FD1"/>
    <w:rsid w:val="009E7FE7"/>
    <w:rsid w:val="009F73D7"/>
    <w:rsid w:val="00A435D6"/>
    <w:rsid w:val="00A50BA8"/>
    <w:rsid w:val="00A55EF2"/>
    <w:rsid w:val="00A655A0"/>
    <w:rsid w:val="00AE6984"/>
    <w:rsid w:val="00AF1210"/>
    <w:rsid w:val="00AF79B8"/>
    <w:rsid w:val="00B00212"/>
    <w:rsid w:val="00B04278"/>
    <w:rsid w:val="00B12416"/>
    <w:rsid w:val="00B147B8"/>
    <w:rsid w:val="00B24926"/>
    <w:rsid w:val="00B24AEB"/>
    <w:rsid w:val="00B27D0D"/>
    <w:rsid w:val="00B4745C"/>
    <w:rsid w:val="00B51E72"/>
    <w:rsid w:val="00B65542"/>
    <w:rsid w:val="00B86B75"/>
    <w:rsid w:val="00B90A84"/>
    <w:rsid w:val="00B93084"/>
    <w:rsid w:val="00BB0473"/>
    <w:rsid w:val="00BB17CF"/>
    <w:rsid w:val="00BC48D5"/>
    <w:rsid w:val="00BC4C4F"/>
    <w:rsid w:val="00BD464D"/>
    <w:rsid w:val="00BE7274"/>
    <w:rsid w:val="00C12BAC"/>
    <w:rsid w:val="00C34DEC"/>
    <w:rsid w:val="00C36279"/>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90D21"/>
    <w:rsid w:val="00D95ED5"/>
    <w:rsid w:val="00DC17D2"/>
    <w:rsid w:val="00DC7B60"/>
    <w:rsid w:val="00DD4EB2"/>
    <w:rsid w:val="00DF59DB"/>
    <w:rsid w:val="00E050F6"/>
    <w:rsid w:val="00E176A4"/>
    <w:rsid w:val="00E315A3"/>
    <w:rsid w:val="00E470E3"/>
    <w:rsid w:val="00E53EC3"/>
    <w:rsid w:val="00E6049B"/>
    <w:rsid w:val="00E72548"/>
    <w:rsid w:val="00E7381E"/>
    <w:rsid w:val="00E9750E"/>
    <w:rsid w:val="00EA667E"/>
    <w:rsid w:val="00EC530F"/>
    <w:rsid w:val="00EC6B89"/>
    <w:rsid w:val="00ED278E"/>
    <w:rsid w:val="00ED405F"/>
    <w:rsid w:val="00F1582B"/>
    <w:rsid w:val="00F20F75"/>
    <w:rsid w:val="00F32CD5"/>
    <w:rsid w:val="00F33444"/>
    <w:rsid w:val="00F63022"/>
    <w:rsid w:val="00F77F9D"/>
    <w:rsid w:val="00F94BD1"/>
    <w:rsid w:val="00FA4C67"/>
    <w:rsid w:val="00FE1710"/>
    <w:rsid w:val="00FF0A5C"/>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12CD-AE45-4B17-8D48-CEC448EB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17</Pages>
  <Words>2443</Words>
  <Characters>13927</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14</cp:revision>
  <dcterms:created xsi:type="dcterms:W3CDTF">2020-03-19T02:10:00Z</dcterms:created>
  <dcterms:modified xsi:type="dcterms:W3CDTF">2020-05-03T07:21:00Z</dcterms:modified>
</cp:coreProperties>
</file>