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3779" w:rsidRDefault="004C2CD0">
      <w:pPr>
        <w:pStyle w:val="Ttul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1</wp:posOffset>
            </wp:positionH>
            <wp:positionV relativeFrom="paragraph">
              <wp:posOffset>-68579</wp:posOffset>
            </wp:positionV>
            <wp:extent cx="1065530" cy="106553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5530" cy="1065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F3779" w:rsidRDefault="004C2CD0">
      <w:pPr>
        <w:pStyle w:val="Ttul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76200</wp:posOffset>
                </wp:positionV>
                <wp:extent cx="3028315" cy="636041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36605" y="3477105"/>
                          <a:ext cx="3018790" cy="605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8F3779" w:rsidRDefault="004C2CD0">
                            <w:pPr>
                              <w:textDirection w:val="btLr"/>
                            </w:pPr>
                            <w:r>
                              <w:rPr>
                                <w:rFonts w:ascii="ZapfHumnst BT" w:eastAsia="ZapfHumnst BT" w:hAnsi="ZapfHumnst BT" w:cs="ZapfHumnst BT"/>
                                <w:color w:val="000000"/>
                                <w:sz w:val="24"/>
                              </w:rPr>
                              <w:t>Ministério da Educação</w:t>
                            </w:r>
                          </w:p>
                          <w:p w:rsidR="008F3779" w:rsidRDefault="004C2CD0">
                            <w:pPr>
                              <w:textDirection w:val="btLr"/>
                            </w:pPr>
                            <w:r>
                              <w:rPr>
                                <w:rFonts w:ascii="ZapfHumnst BT" w:eastAsia="ZapfHumnst BT" w:hAnsi="ZapfHumnst BT" w:cs="ZapfHumnst BT"/>
                                <w:color w:val="000000"/>
                                <w:sz w:val="24"/>
                              </w:rPr>
                              <w:t>Universidade Federal de Santa Maria</w:t>
                            </w:r>
                          </w:p>
                          <w:p w:rsidR="008F3779" w:rsidRDefault="008F3779">
                            <w:pPr>
                              <w:spacing w:before="20" w:after="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76200</wp:posOffset>
                </wp:positionV>
                <wp:extent cx="3028315" cy="636041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8315" cy="6360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F3779" w:rsidRDefault="008F3779">
      <w:pPr>
        <w:pStyle w:val="Ttulo"/>
        <w:rPr>
          <w:rFonts w:ascii="Times New Roman" w:hAnsi="Times New Roman" w:cs="Times New Roman"/>
          <w:sz w:val="28"/>
          <w:szCs w:val="28"/>
        </w:rPr>
      </w:pPr>
    </w:p>
    <w:p w:rsidR="008F3779" w:rsidRDefault="008F3779">
      <w:pPr>
        <w:pStyle w:val="Ttulo"/>
        <w:rPr>
          <w:rFonts w:ascii="Times New Roman" w:hAnsi="Times New Roman" w:cs="Times New Roman"/>
          <w:sz w:val="28"/>
          <w:szCs w:val="28"/>
        </w:rPr>
      </w:pPr>
    </w:p>
    <w:p w:rsidR="008F3779" w:rsidRDefault="008F3779">
      <w:pPr>
        <w:pStyle w:val="Ttulo"/>
        <w:rPr>
          <w:rFonts w:ascii="Times New Roman" w:hAnsi="Times New Roman" w:cs="Times New Roman"/>
          <w:sz w:val="28"/>
          <w:szCs w:val="28"/>
        </w:rPr>
      </w:pPr>
    </w:p>
    <w:p w:rsidR="008F3779" w:rsidRDefault="008F3779">
      <w:pPr>
        <w:pStyle w:val="Ttulo"/>
        <w:spacing w:line="360" w:lineRule="auto"/>
        <w:rPr>
          <w:rFonts w:ascii="Times New Roman" w:hAnsi="Times New Roman" w:cs="Times New Roman"/>
        </w:rPr>
      </w:pPr>
    </w:p>
    <w:p w:rsidR="008F3779" w:rsidRDefault="008F3779">
      <w:pPr>
        <w:pStyle w:val="Ttulo"/>
        <w:spacing w:line="360" w:lineRule="auto"/>
        <w:rPr>
          <w:rFonts w:ascii="Times New Roman" w:hAnsi="Times New Roman" w:cs="Times New Roman"/>
        </w:rPr>
      </w:pPr>
    </w:p>
    <w:p w:rsidR="008F3779" w:rsidRDefault="004C2CD0">
      <w:pPr>
        <w:pStyle w:val="Ttulo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DECLARAÇÃO DO FISCAL </w:t>
      </w:r>
    </w:p>
    <w:p w:rsidR="008F3779" w:rsidRDefault="008F3779">
      <w:pPr>
        <w:spacing w:line="360" w:lineRule="auto"/>
        <w:jc w:val="center"/>
        <w:rPr>
          <w:sz w:val="24"/>
          <w:szCs w:val="24"/>
        </w:rPr>
      </w:pPr>
    </w:p>
    <w:p w:rsidR="008F3779" w:rsidRDefault="008F377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  <w:rPr>
          <w:color w:val="000000"/>
          <w:sz w:val="24"/>
          <w:szCs w:val="24"/>
        </w:rPr>
      </w:pPr>
    </w:p>
    <w:p w:rsidR="008F3779" w:rsidRPr="004C2CD0" w:rsidRDefault="004C2CD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  <w:rPr>
          <w:b/>
          <w:color w:val="FF0000"/>
          <w:sz w:val="24"/>
          <w:szCs w:val="24"/>
          <w:u w:val="single"/>
        </w:rPr>
      </w:pPr>
      <w:r w:rsidRPr="004C2CD0">
        <w:rPr>
          <w:sz w:val="24"/>
          <w:szCs w:val="24"/>
        </w:rPr>
        <w:t xml:space="preserve">Declaro, para os devidos fins, que estou ciente dos termos e obrigações que constam na Lei n. </w:t>
      </w:r>
      <w:r w:rsidRPr="004C2CD0">
        <w:rPr>
          <w:sz w:val="24"/>
          <w:szCs w:val="24"/>
        </w:rPr>
        <w:t>14.133/2021</w:t>
      </w:r>
      <w:r w:rsidRPr="004C2CD0">
        <w:rPr>
          <w:sz w:val="24"/>
          <w:szCs w:val="24"/>
        </w:rPr>
        <w:t xml:space="preserve">; na Lei n. 8.958/94, regulamentada pelo Decreto n. 7.423/10; no Decreto n. 93.872/86; na Resolução UFSM n. 089/2022; bem como de suas alterações, para execução do contrato que visa à operacionalização do projeto </w:t>
      </w:r>
      <w:r w:rsidRPr="004C2CD0">
        <w:rPr>
          <w:bCs/>
          <w:sz w:val="24"/>
          <w:szCs w:val="24"/>
        </w:rPr>
        <w:t xml:space="preserve">{{ </w:t>
      </w:r>
      <w:proofErr w:type="spellStart"/>
      <w:r w:rsidRPr="004C2CD0">
        <w:rPr>
          <w:bCs/>
          <w:sz w:val="24"/>
          <w:szCs w:val="24"/>
        </w:rPr>
        <w:t>titulo_projeto</w:t>
      </w:r>
      <w:proofErr w:type="spellEnd"/>
      <w:r w:rsidRPr="004C2CD0">
        <w:rPr>
          <w:bCs/>
          <w:sz w:val="24"/>
          <w:szCs w:val="24"/>
        </w:rPr>
        <w:t xml:space="preserve"> }}</w:t>
      </w:r>
      <w:r w:rsidRPr="004C2CD0">
        <w:rPr>
          <w:sz w:val="24"/>
          <w:szCs w:val="24"/>
        </w:rPr>
        <w:t xml:space="preserve">, registrado sob o nº </w:t>
      </w:r>
      <w:r w:rsidRPr="004C2CD0">
        <w:rPr>
          <w:bCs/>
          <w:sz w:val="24"/>
          <w:szCs w:val="24"/>
        </w:rPr>
        <w:t xml:space="preserve">{{ </w:t>
      </w:r>
      <w:proofErr w:type="spellStart"/>
      <w:r w:rsidRPr="004C2CD0">
        <w:rPr>
          <w:bCs/>
          <w:sz w:val="24"/>
          <w:szCs w:val="24"/>
        </w:rPr>
        <w:t>n_projeto</w:t>
      </w:r>
      <w:proofErr w:type="spellEnd"/>
      <w:r w:rsidRPr="004C2CD0">
        <w:rPr>
          <w:bCs/>
          <w:sz w:val="24"/>
          <w:szCs w:val="24"/>
        </w:rPr>
        <w:t xml:space="preserve"> }}</w:t>
      </w:r>
      <w:r w:rsidRPr="004C2CD0">
        <w:rPr>
          <w:bCs/>
          <w:sz w:val="24"/>
          <w:szCs w:val="24"/>
        </w:rPr>
        <w:t xml:space="preserve"> .</w:t>
      </w:r>
      <w:r w:rsidRPr="004C2CD0">
        <w:rPr>
          <w:sz w:val="24"/>
          <w:szCs w:val="24"/>
        </w:rPr>
        <w:t xml:space="preserve"> </w:t>
      </w:r>
      <w:bookmarkStart w:id="0" w:name="_GoBack"/>
      <w:bookmarkEnd w:id="0"/>
    </w:p>
    <w:p w:rsidR="008F3779" w:rsidRDefault="008F377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  <w:rPr>
          <w:color w:val="000000"/>
          <w:sz w:val="24"/>
          <w:szCs w:val="24"/>
        </w:rPr>
      </w:pPr>
    </w:p>
    <w:p w:rsidR="008F3779" w:rsidRDefault="004C2CD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Artigos da Resolução UFSM n. 089/2022 que fazem referência às responsabilidades do Fiscal:</w:t>
      </w:r>
    </w:p>
    <w:p w:rsidR="008F3779" w:rsidRDefault="008F377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  <w:rPr>
          <w:color w:val="000000"/>
          <w:sz w:val="24"/>
          <w:szCs w:val="24"/>
        </w:rPr>
      </w:pPr>
    </w:p>
    <w:p w:rsidR="008F3779" w:rsidRDefault="004C2CD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Art. 35. Nos projetos, deverá ser indicado um fiscal ou Equipe de Fiscalização a critério da autoridade superior, para exercer as funções de fiscalização de execução do </w:t>
      </w:r>
      <w:r>
        <w:rPr>
          <w:i/>
          <w:sz w:val="24"/>
          <w:szCs w:val="24"/>
        </w:rPr>
        <w:t>instrumento</w:t>
      </w:r>
      <w:r>
        <w:rPr>
          <w:i/>
          <w:color w:val="000000"/>
          <w:sz w:val="24"/>
          <w:szCs w:val="24"/>
        </w:rPr>
        <w:t xml:space="preserve"> com Fundação de Apoio, nos termos do Art. 67 da Lei N. 8.666/93.</w:t>
      </w:r>
    </w:p>
    <w:p w:rsidR="008F3779" w:rsidRDefault="004C2CD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(...)</w:t>
      </w:r>
    </w:p>
    <w:p w:rsidR="008F3779" w:rsidRDefault="004C2CD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60"/>
        <w:ind w:firstLine="851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§ 3o</w:t>
      </w:r>
      <w:r>
        <w:rPr>
          <w:i/>
          <w:color w:val="000000"/>
          <w:sz w:val="24"/>
          <w:szCs w:val="24"/>
        </w:rPr>
        <w:t xml:space="preserve"> O fiscal que estiver na iminência de afastar-se ou licenciar-se por mais que 30 (trinta) dias, deverá comunicar </w:t>
      </w:r>
      <w:r>
        <w:rPr>
          <w:i/>
          <w:sz w:val="24"/>
          <w:szCs w:val="24"/>
        </w:rPr>
        <w:t>à autoridade</w:t>
      </w:r>
      <w:r>
        <w:rPr>
          <w:i/>
          <w:color w:val="000000"/>
          <w:sz w:val="24"/>
          <w:szCs w:val="24"/>
        </w:rPr>
        <w:t xml:space="preserve"> que o designou para essa função, de modo que seja providenciada a sua substituição. </w:t>
      </w:r>
    </w:p>
    <w:p w:rsidR="008F3779" w:rsidRDefault="004C2CD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60"/>
        <w:ind w:firstLine="851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>§ 4o O fiscal deverá permanecer na função pel</w:t>
      </w:r>
      <w:r>
        <w:rPr>
          <w:i/>
          <w:color w:val="000000"/>
          <w:sz w:val="24"/>
          <w:szCs w:val="24"/>
        </w:rPr>
        <w:t xml:space="preserve">o período mínimo de 01 (um) semestre, de modo a evitar a substituição do servidor antes da apresentação da prestação de contas parcial do período em questão e dar ciência do andamento do trabalho ao sucessor. </w:t>
      </w:r>
    </w:p>
    <w:p w:rsidR="008F3779" w:rsidRDefault="004C2CD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firstLine="851"/>
        <w:jc w:val="both"/>
        <w:rPr>
          <w:i/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§ 5o A indicação se dará por meio de despacho </w:t>
      </w:r>
      <w:r>
        <w:rPr>
          <w:i/>
          <w:color w:val="000000"/>
          <w:sz w:val="24"/>
          <w:szCs w:val="24"/>
        </w:rPr>
        <w:t>do respectivo diretor da unidade do coordenador do projeto ou quando tratar-se de projeto vinculado à reitoria, caberá ao Pró-Reitor de Planejamento a designação.</w:t>
      </w:r>
    </w:p>
    <w:p w:rsidR="008F3779" w:rsidRDefault="008F377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60"/>
        <w:ind w:firstLine="851"/>
        <w:jc w:val="both"/>
        <w:rPr>
          <w:b/>
          <w:i/>
          <w:strike/>
          <w:color w:val="000000"/>
          <w:sz w:val="24"/>
          <w:szCs w:val="24"/>
        </w:rPr>
      </w:pP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Art. 38. No prazo máximo de 30 (trinta) dias após o término do projeto, a totalidade dos ben</w:t>
      </w:r>
      <w:r>
        <w:rPr>
          <w:i/>
          <w:sz w:val="24"/>
          <w:szCs w:val="24"/>
        </w:rPr>
        <w:t>s disponíveis, e os saldos remanescentes, deverão ser incorporados ao patrimônio da UFSM, de acordo com orientações definidas pela Pró-Reitoria de Administração, salvo se imposição diferente determinada pela instituição financiadora e registrada no Instrum</w:t>
      </w:r>
      <w:r>
        <w:rPr>
          <w:i/>
          <w:sz w:val="24"/>
          <w:szCs w:val="24"/>
        </w:rPr>
        <w:t xml:space="preserve">ento com Fundação de Apoio.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(...)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bookmarkStart w:id="1" w:name="_heading=h.gjdgxs" w:colFirst="0" w:colLast="0"/>
      <w:bookmarkEnd w:id="1"/>
      <w:r>
        <w:rPr>
          <w:i/>
          <w:sz w:val="24"/>
          <w:szCs w:val="24"/>
        </w:rPr>
        <w:t xml:space="preserve">§ 2o Caberá ao Fiscal ou à Equipe de Fiscalização conferir a transferência dos bens e, no caso de não comunicar qualquer ocorrência existente, </w:t>
      </w:r>
      <w:r>
        <w:rPr>
          <w:b/>
          <w:i/>
          <w:sz w:val="24"/>
          <w:szCs w:val="24"/>
        </w:rPr>
        <w:t>responderá subsidiariamente com o Coordenador pela falta do patrimônio não inc</w:t>
      </w:r>
      <w:r>
        <w:rPr>
          <w:b/>
          <w:i/>
          <w:sz w:val="24"/>
          <w:szCs w:val="24"/>
        </w:rPr>
        <w:t>orporado.</w:t>
      </w:r>
    </w:p>
    <w:p w:rsidR="008F3779" w:rsidRDefault="008F377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60"/>
        <w:ind w:firstLine="851"/>
        <w:jc w:val="both"/>
        <w:rPr>
          <w:b/>
          <w:i/>
          <w:color w:val="000000"/>
          <w:sz w:val="24"/>
          <w:szCs w:val="24"/>
        </w:rPr>
      </w:pP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Art. 42. São atribuições do fiscal ou da Equipe de Fiscalização do Instrumento com Fundação de Apoio: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 - </w:t>
      </w:r>
      <w:proofErr w:type="gramStart"/>
      <w:r>
        <w:rPr>
          <w:i/>
          <w:sz w:val="24"/>
          <w:szCs w:val="24"/>
        </w:rPr>
        <w:t>verificar</w:t>
      </w:r>
      <w:proofErr w:type="gramEnd"/>
      <w:r>
        <w:rPr>
          <w:i/>
          <w:sz w:val="24"/>
          <w:szCs w:val="24"/>
        </w:rPr>
        <w:t xml:space="preserve"> a conformidade entre as despesas executadas e o previsto no projeto;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II - </w:t>
      </w:r>
      <w:proofErr w:type="gramStart"/>
      <w:r>
        <w:rPr>
          <w:i/>
          <w:sz w:val="24"/>
          <w:szCs w:val="24"/>
        </w:rPr>
        <w:t>responsabilizar-se</w:t>
      </w:r>
      <w:proofErr w:type="gramEnd"/>
      <w:r>
        <w:rPr>
          <w:i/>
          <w:sz w:val="24"/>
          <w:szCs w:val="24"/>
        </w:rPr>
        <w:t xml:space="preserve"> pelo acompanhamento e fiscalização</w:t>
      </w:r>
      <w:r>
        <w:rPr>
          <w:i/>
          <w:sz w:val="24"/>
          <w:szCs w:val="24"/>
        </w:rPr>
        <w:t xml:space="preserve"> das despesas executadas por meio do projeto, tendo como parâmetro as previsões de despesa estabelecidas no Instrumento com Fundação de Apoio e documentos correlatos;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III - verificar a conformidade da conciliação bancária através da verificação dos extrat</w:t>
      </w:r>
      <w:r>
        <w:rPr>
          <w:i/>
          <w:sz w:val="24"/>
          <w:szCs w:val="24"/>
        </w:rPr>
        <w:t xml:space="preserve">os bancários da conta corrente e da aplicação financeira do projeto;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IV - </w:t>
      </w:r>
      <w:proofErr w:type="gramStart"/>
      <w:r>
        <w:rPr>
          <w:i/>
          <w:sz w:val="24"/>
          <w:szCs w:val="24"/>
        </w:rPr>
        <w:t>verificar</w:t>
      </w:r>
      <w:proofErr w:type="gramEnd"/>
      <w:r>
        <w:rPr>
          <w:i/>
          <w:sz w:val="24"/>
          <w:szCs w:val="24"/>
        </w:rPr>
        <w:t xml:space="preserve"> a conformidade do relatório de cumprimento do objeto;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V - </w:t>
      </w:r>
      <w:proofErr w:type="gramStart"/>
      <w:r>
        <w:rPr>
          <w:i/>
          <w:sz w:val="24"/>
          <w:szCs w:val="24"/>
        </w:rPr>
        <w:t>conferir</w:t>
      </w:r>
      <w:proofErr w:type="gramEnd"/>
      <w:r>
        <w:rPr>
          <w:i/>
          <w:sz w:val="24"/>
          <w:szCs w:val="24"/>
        </w:rPr>
        <w:t xml:space="preserve"> a transferência dos bens adquiridos pelo projeto ao final do mesmo por meio do termo de doação para a UFSM;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 xml:space="preserve">VI - </w:t>
      </w:r>
      <w:proofErr w:type="gramStart"/>
      <w:r>
        <w:rPr>
          <w:i/>
          <w:sz w:val="24"/>
          <w:szCs w:val="24"/>
        </w:rPr>
        <w:t>verificar</w:t>
      </w:r>
      <w:proofErr w:type="gramEnd"/>
      <w:r>
        <w:rPr>
          <w:i/>
          <w:sz w:val="24"/>
          <w:szCs w:val="24"/>
        </w:rPr>
        <w:t xml:space="preserve"> a conformidade dos relatórios técnicos e financeiros parciais e finais;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VII - aprovar os relatórios financeiros parcia</w:t>
      </w:r>
      <w:r>
        <w:rPr>
          <w:i/>
          <w:sz w:val="24"/>
          <w:szCs w:val="24"/>
        </w:rPr>
        <w:t xml:space="preserve">is e finais;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IX - </w:t>
      </w:r>
      <w:proofErr w:type="gramStart"/>
      <w:r>
        <w:rPr>
          <w:b/>
          <w:i/>
          <w:sz w:val="24"/>
          <w:szCs w:val="24"/>
        </w:rPr>
        <w:t>emit</w:t>
      </w:r>
      <w:r>
        <w:rPr>
          <w:b/>
          <w:i/>
          <w:sz w:val="24"/>
          <w:szCs w:val="24"/>
        </w:rPr>
        <w:t>ir</w:t>
      </w:r>
      <w:proofErr w:type="gramEnd"/>
      <w:r>
        <w:rPr>
          <w:b/>
          <w:i/>
          <w:sz w:val="24"/>
          <w:szCs w:val="24"/>
        </w:rPr>
        <w:t>, como parte do processo de prestação de contas parciais e finais, declaração expressa da existência de todos os documentos listados em checklist disponibilizado pelo Departamento de Contabilidade e Finanças e de todos os documentos previstos como necess</w:t>
      </w:r>
      <w:r>
        <w:rPr>
          <w:b/>
          <w:i/>
          <w:sz w:val="24"/>
          <w:szCs w:val="24"/>
        </w:rPr>
        <w:t xml:space="preserve">ários à prestação de contas, sob as penas do Art. 299 do Código Penal;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X - </w:t>
      </w:r>
      <w:proofErr w:type="gramStart"/>
      <w:r>
        <w:rPr>
          <w:i/>
          <w:sz w:val="24"/>
          <w:szCs w:val="24"/>
        </w:rPr>
        <w:t>avaliar</w:t>
      </w:r>
      <w:proofErr w:type="gramEnd"/>
      <w:r>
        <w:rPr>
          <w:i/>
          <w:sz w:val="24"/>
          <w:szCs w:val="24"/>
        </w:rPr>
        <w:t xml:space="preserve"> as licitações específicas do projeto realizadas pela Fundação de Apoio, fazendo constar em declaração expressa, sempre que necessário, indicação de que foram cumpridas toda</w:t>
      </w:r>
      <w:r>
        <w:rPr>
          <w:i/>
          <w:sz w:val="24"/>
          <w:szCs w:val="24"/>
        </w:rPr>
        <w:t xml:space="preserve">s as regras do processo licitatório; </w:t>
      </w:r>
    </w:p>
    <w:p w:rsidR="008F3779" w:rsidRDefault="004C2CD0">
      <w:pPr>
        <w:widowControl w:val="0"/>
        <w:ind w:firstLine="708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8F3779" w:rsidRDefault="004C2CD0">
      <w:pPr>
        <w:widowControl w:val="0"/>
        <w:ind w:firstLine="708"/>
        <w:jc w:val="both"/>
      </w:pPr>
      <w:r>
        <w:rPr>
          <w:i/>
          <w:sz w:val="24"/>
          <w:szCs w:val="24"/>
        </w:rPr>
        <w:t xml:space="preserve">XII </w:t>
      </w:r>
      <w:r>
        <w:rPr>
          <w:i/>
          <w:sz w:val="24"/>
          <w:szCs w:val="24"/>
        </w:rPr>
        <w:t>- emitir parecer prévio em caso de dúvida sobre a conveniência, oportunidade e finalidade pública de qualquer despesa do projeto, mediante solicitação.</w:t>
      </w:r>
    </w:p>
    <w:p w:rsidR="008F3779" w:rsidRDefault="008F3779">
      <w:pPr>
        <w:widowControl w:val="0"/>
        <w:ind w:firstLine="708"/>
      </w:pPr>
    </w:p>
    <w:p w:rsidR="008F3779" w:rsidRDefault="008F3779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60"/>
        <w:ind w:firstLine="851"/>
        <w:jc w:val="both"/>
        <w:rPr>
          <w:i/>
          <w:color w:val="000000"/>
          <w:sz w:val="24"/>
          <w:szCs w:val="24"/>
        </w:rPr>
      </w:pPr>
    </w:p>
    <w:p w:rsidR="008F3779" w:rsidRDefault="008F3779">
      <w:pPr>
        <w:spacing w:line="360" w:lineRule="auto"/>
        <w:rPr>
          <w:sz w:val="24"/>
          <w:szCs w:val="24"/>
        </w:rPr>
      </w:pPr>
    </w:p>
    <w:p w:rsidR="008F3779" w:rsidRDefault="008F3779">
      <w:pPr>
        <w:spacing w:line="360" w:lineRule="auto"/>
        <w:rPr>
          <w:sz w:val="24"/>
          <w:szCs w:val="24"/>
        </w:rPr>
      </w:pPr>
    </w:p>
    <w:p w:rsidR="008F3779" w:rsidRDefault="008F3779">
      <w:pPr>
        <w:spacing w:line="360" w:lineRule="auto"/>
        <w:rPr>
          <w:sz w:val="24"/>
          <w:szCs w:val="24"/>
        </w:rPr>
      </w:pPr>
    </w:p>
    <w:p w:rsidR="008F3779" w:rsidRDefault="004C2CD0">
      <w:pPr>
        <w:spacing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_______________________________</w:t>
      </w:r>
    </w:p>
    <w:p w:rsidR="008F3779" w:rsidRDefault="004C2CD0">
      <w:pPr>
        <w:spacing w:line="360" w:lineRule="auto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Fiscal do Projeto</w:t>
      </w:r>
    </w:p>
    <w:p w:rsidR="008F3779" w:rsidRPr="004C2CD0" w:rsidRDefault="004C2CD0" w:rsidP="004C2CD0">
      <w:pPr>
        <w:spacing w:line="360" w:lineRule="auto"/>
        <w:jc w:val="right"/>
      </w:pPr>
      <w:r w:rsidRPr="004C2CD0">
        <w:t xml:space="preserve">NOME: </w:t>
      </w:r>
      <w:proofErr w:type="gramStart"/>
      <w:r w:rsidRPr="004C2CD0">
        <w:t xml:space="preserve">{{ </w:t>
      </w:r>
      <w:proofErr w:type="spellStart"/>
      <w:r w:rsidRPr="004C2CD0">
        <w:t>nome</w:t>
      </w:r>
      <w:proofErr w:type="gramEnd"/>
      <w:r w:rsidRPr="004C2CD0">
        <w:t>_fiscal</w:t>
      </w:r>
      <w:proofErr w:type="spellEnd"/>
      <w:r w:rsidRPr="004C2CD0">
        <w:t xml:space="preserve"> }}  </w:t>
      </w:r>
      <w:r w:rsidRPr="004C2CD0">
        <w:br/>
        <w:t xml:space="preserve">SIAPE: {{ </w:t>
      </w:r>
      <w:proofErr w:type="spellStart"/>
      <w:r w:rsidRPr="004C2CD0">
        <w:t>siape_fiscal</w:t>
      </w:r>
      <w:proofErr w:type="spellEnd"/>
      <w:r w:rsidRPr="004C2CD0">
        <w:t xml:space="preserve"> }}</w:t>
      </w:r>
      <w:r w:rsidRPr="004C2CD0">
        <w:rPr>
          <w:color w:val="FF0000"/>
        </w:rPr>
        <w:t xml:space="preserve"> </w:t>
      </w:r>
    </w:p>
    <w:sectPr w:rsidR="008F3779" w:rsidRPr="004C2CD0">
      <w:pgSz w:w="11907" w:h="16840"/>
      <w:pgMar w:top="567" w:right="851" w:bottom="851" w:left="1418" w:header="0" w:footer="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ZapfHumnst BT">
    <w:altName w:val="Cambri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779"/>
    <w:rsid w:val="004C2CD0"/>
    <w:rsid w:val="008F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A52B"/>
  <w15:docId w15:val="{A1B6FD17-FCDF-4F43-890F-FDD6F2BD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jc w:val="center"/>
    </w:pPr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qFormat/>
    <w:pPr>
      <w:tabs>
        <w:tab w:val="left" w:pos="0"/>
      </w:tabs>
      <w:spacing w:before="60"/>
      <w:ind w:firstLine="1418"/>
      <w:jc w:val="both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Recuodecorpodetexto2Char">
    <w:name w:val="Recuo de corpo de texto 2 Char"/>
    <w:basedOn w:val="Fontepargpadro"/>
    <w:rPr>
      <w:rFonts w:ascii="Arial" w:hAnsi="Arial" w:cs="Arial"/>
      <w:sz w:val="20"/>
      <w:szCs w:val="20"/>
    </w:rPr>
  </w:style>
  <w:style w:type="character" w:customStyle="1" w:styleId="TtuloChar">
    <w:name w:val="Título Char"/>
    <w:basedOn w:val="Fontepargpadro"/>
    <w:rPr>
      <w:rFonts w:ascii="Arial" w:hAnsi="Arial" w:cs="Arial"/>
      <w:sz w:val="20"/>
      <w:szCs w:val="20"/>
    </w:rPr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zmWzJZT8MZ6SM8bFgUUSh4+EpA==">CgMxLjAyCGguZ2pkZ3hzOAByITE1NDBMWGpMMEZob2kxcHl6M090MHkzSTlLcHBfYXdMeA==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661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pccli</dc:creator>
  <cp:lastModifiedBy>Jeferson Flores</cp:lastModifiedBy>
  <cp:revision>2</cp:revision>
  <dcterms:created xsi:type="dcterms:W3CDTF">2022-06-06T18:38:00Z</dcterms:created>
  <dcterms:modified xsi:type="dcterms:W3CDTF">2026-09-14T13:46:00Z</dcterms:modified>
</cp:coreProperties>
</file>