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NEWS - ERN 02 - Criar Login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NEWS - ERN 02 - Criar Login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Nome do Regra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Criar Login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deverá ser seguida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Regras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Criar Login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fornecer seu 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 email deve ser de um tipo válido, por exemplo: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example@gmail.com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escolher um nível de acesso de “Jornalista” ou “Editor Chefe”;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 fornecer uma senha válida com no mínimo 8 caracteres;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senha deve ter letras maiúsculas com caracteres especiais;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usuário já tiver um login cadastrado, deverá ir para tela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Frequência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8.999999999998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xample@gmail.com" TargetMode="External"/><Relationship Id="rId8" Type="http://schemas.openxmlformats.org/officeDocument/2006/relationships/hyperlink" Target="https://www.figma.com/file/dIFN0B5u65IvygtbRCSr13/News-Not%C3%ADcias?node-id=14%3A2&amp;t=dRc8IKru1V969Hh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AVJwH+FMh57RcP2t34kPQ7Jrg==">CgMxLjAyCGguZ2pkZ3hzMgloLjMwajB6bGwyCWguMWZvYjl0ZTIJaC4zem55c2g3MgloLjJldDkycDAyCGgudHlqY3d0MgloLjNkeTZ2a20yCWguMXQzaDVzZjIJaC40ZDM0b2c4MgloLjJzOGV5bzEyCWguMTdkcDh2dTIJaC4zcmRjcmpuOAByITFkSENZLWpnQzdieDJQWklSNllJb05fdWYtN2hEU1V0Vw==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