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7BC4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51597B53" w14:textId="6BCB06A4" w:rsidR="00802E32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802E32">
        <w:rPr>
          <w:rFonts w:ascii="Bahnschrift" w:hAnsi="Bahnschrift"/>
          <w:sz w:val="28"/>
          <w:szCs w:val="28"/>
        </w:rPr>
        <w:t xml:space="preserve"> και τις αποθηκεύει στο στοιχείο «θερμίδες που κάηκαν»(</w:t>
      </w:r>
      <w:r w:rsidR="00802E32">
        <w:rPr>
          <w:rFonts w:ascii="Bahnschrift" w:hAnsi="Bahnschrift"/>
          <w:sz w:val="28"/>
          <w:szCs w:val="28"/>
          <w:lang w:val="en-US"/>
        </w:rPr>
        <w:t>CalBurnt</w:t>
      </w:r>
      <w:r w:rsidR="0077165E" w:rsidRPr="00BC3D29">
        <w:rPr>
          <w:rFonts w:ascii="Bahnschrift" w:hAnsi="Bahnschrift"/>
          <w:sz w:val="28"/>
          <w:szCs w:val="28"/>
        </w:rPr>
        <w:t xml:space="preserve">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02E32" w:rsidRPr="00BC3D29">
        <w:rPr>
          <w:rFonts w:ascii="Bahnschrift" w:hAnsi="Bahnschrift"/>
          <w:sz w:val="28"/>
          <w:szCs w:val="28"/>
        </w:rPr>
        <w:t>).</w:t>
      </w:r>
    </w:p>
    <w:p w14:paraId="4B144721" w14:textId="5F42C982" w:rsidR="0077165E" w:rsidRPr="00BC3D29" w:rsidRDefault="00802E32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To</w:t>
      </w:r>
      <w:r w:rsidRPr="00802E3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 xml:space="preserve">αφαιρεί τις θερμίδες </w:t>
      </w:r>
      <w:r>
        <w:rPr>
          <w:rFonts w:ascii="Bahnschrift" w:hAnsi="Bahnschrift"/>
          <w:sz w:val="28"/>
          <w:szCs w:val="28"/>
        </w:rPr>
        <w:t>που κάηκαν</w:t>
      </w:r>
      <w:r w:rsidR="0077165E" w:rsidRPr="00BC3D29">
        <w:rPr>
          <w:rFonts w:ascii="Bahnschrift" w:hAnsi="Bahnschrift"/>
          <w:sz w:val="28"/>
          <w:szCs w:val="28"/>
        </w:rPr>
        <w:t xml:space="preserve">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455036E" w14:textId="77777777" w:rsidR="00802E32" w:rsidRDefault="00802E32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802E3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68202D9" w14:textId="7F7145D3" w:rsidR="004E327B" w:rsidRPr="00EF03E5" w:rsidRDefault="000D64C1" w:rsidP="00EF03E5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F0F8" w14:textId="77777777" w:rsidR="009C156B" w:rsidRDefault="009C156B" w:rsidP="00FD225D">
      <w:pPr>
        <w:spacing w:after="0" w:line="240" w:lineRule="auto"/>
      </w:pPr>
      <w:r>
        <w:separator/>
      </w:r>
    </w:p>
  </w:endnote>
  <w:endnote w:type="continuationSeparator" w:id="0">
    <w:p w14:paraId="1D21FDE0" w14:textId="77777777" w:rsidR="009C156B" w:rsidRDefault="009C156B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7751" w14:textId="77777777" w:rsidR="009C156B" w:rsidRDefault="009C156B" w:rsidP="00FD225D">
      <w:pPr>
        <w:spacing w:after="0" w:line="240" w:lineRule="auto"/>
      </w:pPr>
      <w:r>
        <w:separator/>
      </w:r>
    </w:p>
  </w:footnote>
  <w:footnote w:type="continuationSeparator" w:id="0">
    <w:p w14:paraId="552D49E0" w14:textId="77777777" w:rsidR="009C156B" w:rsidRDefault="009C156B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0B4A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2E32"/>
    <w:rsid w:val="00803A9B"/>
    <w:rsid w:val="00805758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C156B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03E5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ΚΑΨΙΜΑΛΗΣ ΔΙΟΝΥΣΙΟΣ-ΚΩΝΣΤΑΝΤΙΝΟΣ</cp:lastModifiedBy>
  <cp:revision>7</cp:revision>
  <cp:lastPrinted>2023-03-28T18:14:00Z</cp:lastPrinted>
  <dcterms:created xsi:type="dcterms:W3CDTF">2023-05-28T16:38:00Z</dcterms:created>
  <dcterms:modified xsi:type="dcterms:W3CDTF">2023-06-02T20:53:00Z</dcterms:modified>
</cp:coreProperties>
</file>