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104 – The Constitutional Excellence &amp; Maturity Model</w:t>
      </w:r>
    </w:p>
    <w:p>
      <w:pPr>
        <w:pStyle w:val="Heading1"/>
      </w:pPr>
      <w:r>
        <w:t>Chapter 104 – The Constitutional Excellence &amp; Maturity Model</w:t>
      </w:r>
    </w:p>
    <w:p>
      <w:r>
        <w:t>Constitutional excellence is achieved through disciplined, measurable improvement. This maturity model provides a common framework for assessing how closely every part of 3BOS aligns with its constitutional principles and where further progress is required.</w:t>
      </w:r>
    </w:p>
    <w:p>
      <w:pPr>
        <w:pStyle w:val="Heading2"/>
      </w:pPr>
      <w:r>
        <w:t>Purpose</w:t>
      </w:r>
    </w:p>
    <w:p>
      <w:r>
        <w:t>Establish a measurable model for evaluating constitutional maturity across 3BOS.</w:t>
      </w:r>
    </w:p>
    <w:p>
      <w:pPr>
        <w:pStyle w:val="Heading2"/>
      </w:pPr>
      <w:r>
        <w:t>Constitutional Maturity Levels</w:t>
      </w:r>
    </w:p>
    <w:p>
      <w:r>
        <w:t>Define progressive levels from foundational compliance to exemplary constitutional excellence.</w:t>
      </w:r>
    </w:p>
    <w:p>
      <w:pPr>
        <w:pStyle w:val="Heading2"/>
      </w:pPr>
      <w:r>
        <w:t>Capability Maturity</w:t>
      </w:r>
    </w:p>
    <w:p>
      <w:r>
        <w:t>Assess business capabilities for completeness, consistency, usability and long-term maintainability.</w:t>
      </w:r>
    </w:p>
    <w:p>
      <w:pPr>
        <w:pStyle w:val="Heading2"/>
      </w:pPr>
      <w:r>
        <w:t>Engineering Maturity</w:t>
      </w:r>
    </w:p>
    <w:p>
      <w:r>
        <w:t>Evaluate architecture, quality, testing, security, observability and operational resilience.</w:t>
      </w:r>
    </w:p>
    <w:p>
      <w:pPr>
        <w:pStyle w:val="Heading2"/>
      </w:pPr>
      <w:r>
        <w:t>Product Maturity</w:t>
      </w:r>
    </w:p>
    <w:p>
      <w:r>
        <w:t>Measure product discovery, delivery, adoption, business value and constitutional alignment.</w:t>
      </w:r>
    </w:p>
    <w:p>
      <w:pPr>
        <w:pStyle w:val="Heading2"/>
      </w:pPr>
      <w:r>
        <w:t>Governance Maturity</w:t>
      </w:r>
    </w:p>
    <w:p>
      <w:r>
        <w:t>Review decision quality, documentation, compliance, transparency and stewardship.</w:t>
      </w:r>
    </w:p>
    <w:p>
      <w:pPr>
        <w:pStyle w:val="Heading2"/>
      </w:pPr>
      <w:r>
        <w:t>Human Experience Maturity</w:t>
      </w:r>
    </w:p>
    <w:p>
      <w:r>
        <w:t>Assess accessibility, trust, usability, emotional quality and Human-First outcomes.</w:t>
      </w:r>
    </w:p>
    <w:p>
      <w:pPr>
        <w:pStyle w:val="Heading2"/>
      </w:pPr>
      <w:r>
        <w:t>AI Maturity</w:t>
      </w:r>
    </w:p>
    <w:p>
      <w:r>
        <w:t>Measure responsible AI adoption, explainability, governance and human oversight.</w:t>
      </w:r>
    </w:p>
    <w:p>
      <w:pPr>
        <w:pStyle w:val="Heading2"/>
      </w:pPr>
      <w:r>
        <w:t>Continuous Excellence</w:t>
      </w:r>
    </w:p>
    <w:p>
      <w:r>
        <w:t>Use recurring assessments to guide evidence-based improvement and institutional learning.</w:t>
      </w:r>
    </w:p>
    <w:p>
      <w:pPr>
        <w:pStyle w:val="Heading2"/>
      </w:pPr>
      <w:r>
        <w:t>Maturity Progression</w:t>
      </w:r>
    </w:p>
    <w:p>
      <w:r>
        <w:t>Foundation</w:t>
        <w:br/>
        <w:t>↓</w:t>
        <w:br/>
        <w:t>Compliance</w:t>
        <w:br/>
        <w:t>↓</w:t>
        <w:br/>
        <w:t>Optimisation</w:t>
        <w:br/>
        <w:t>↓</w:t>
        <w:br/>
        <w:t>Excellence</w:t>
        <w:br/>
        <w:t>↓</w:t>
        <w:br/>
        <w:t>Continuous Evolution</w:t>
      </w:r>
    </w:p>
    <w:p>
      <w:pPr>
        <w:pStyle w:val="Heading2"/>
      </w:pPr>
      <w:r>
        <w:t>Excellence Principles</w:t>
      </w:r>
    </w:p>
    <w:p>
      <w:pPr>
        <w:pStyle w:val="ListBullet"/>
      </w:pPr>
      <w:r>
        <w:t>Measure objectively.</w:t>
      </w:r>
    </w:p>
    <w:p>
      <w:pPr>
        <w:pStyle w:val="ListBullet"/>
      </w:pPr>
      <w:r>
        <w:t>Improve continuously.</w:t>
      </w:r>
    </w:p>
    <w:p>
      <w:pPr>
        <w:pStyle w:val="ListBullet"/>
      </w:pPr>
      <w:r>
        <w:t>Reward constitutional excellence.</w:t>
      </w:r>
    </w:p>
    <w:p>
      <w:pPr>
        <w:pStyle w:val="ListBullet"/>
      </w:pPr>
      <w:r>
        <w:t>Share successful practices.</w:t>
      </w:r>
    </w:p>
    <w:p>
      <w:pPr>
        <w:pStyle w:val="ListBullet"/>
      </w:pPr>
      <w:r>
        <w:t>Learn from assessments.</w:t>
      </w:r>
    </w:p>
    <w:p>
      <w:pPr>
        <w:pStyle w:val="ListBullet"/>
      </w:pPr>
      <w:r>
        <w:t>Every maturity decision honours the Constitution.</w:t>
      </w:r>
    </w:p>
    <w:p>
      <w:pPr>
        <w:pStyle w:val="Heading2"/>
      </w:pPr>
      <w:r>
        <w:t>Chapter Declaration</w:t>
      </w:r>
    </w:p>
    <w:p>
      <w:r>
        <w:t>The Constitutional Excellence &amp; Maturity Model is the permanent assessment framework of 3BOS, enabling continuous improvement while preserving the enduring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