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IX – Reference Models &amp; Future Blueprints</w:t>
        <w:br/>
      </w:r>
      <w:r>
        <w:t>Chapter 107 – The Constitutional Ecosystem Reference Architecture</w:t>
      </w:r>
    </w:p>
    <w:p>
      <w:pPr>
        <w:pStyle w:val="Heading1"/>
      </w:pPr>
      <w:r>
        <w:t>Chapter 107 – The Constitutional Ecosystem Reference Architecture</w:t>
      </w:r>
    </w:p>
    <w:p>
      <w:r>
        <w:t>3BOS is designed to operate as part of a broader digital ecosystem rather than in isolation. This chapter defines the constitutional architecture for integrating with governments, financial institutions, logistics providers, partners and future digital infrastructure while preserving Human-First governance.</w:t>
      </w:r>
    </w:p>
    <w:p>
      <w:pPr>
        <w:pStyle w:val="Heading2"/>
      </w:pPr>
      <w:r>
        <w:t>Purpose</w:t>
      </w:r>
    </w:p>
    <w:p>
      <w:r>
        <w:t>Define the reference architecture for trusted ecosystem integration.</w:t>
      </w:r>
    </w:p>
    <w:p>
      <w:pPr>
        <w:pStyle w:val="Heading2"/>
      </w:pPr>
      <w:r>
        <w:t>Ecosystem Architecture</w:t>
      </w:r>
    </w:p>
    <w:p>
      <w:r>
        <w:t>External systems should connect through governed interfaces, shared standards and constitutional policies.</w:t>
      </w:r>
    </w:p>
    <w:p>
      <w:pPr>
        <w:pStyle w:val="Heading2"/>
      </w:pPr>
      <w:r>
        <w:t>Government Integration</w:t>
      </w:r>
    </w:p>
    <w:p>
      <w:r>
        <w:t>Support secure integration with public digital infrastructure and government services where appropriate.</w:t>
      </w:r>
    </w:p>
    <w:p>
      <w:pPr>
        <w:pStyle w:val="Heading2"/>
      </w:pPr>
      <w:r>
        <w:t>Financial Ecosystem</w:t>
      </w:r>
    </w:p>
    <w:p>
      <w:r>
        <w:t>Enable interoperable connections with payment, banking, lending and insurance ecosystems using secure standards.</w:t>
      </w:r>
    </w:p>
    <w:p>
      <w:pPr>
        <w:pStyle w:val="Heading2"/>
      </w:pPr>
      <w:r>
        <w:t>Logistics Ecosystem</w:t>
      </w:r>
    </w:p>
    <w:p>
      <w:r>
        <w:t>Integrate logistics, delivery and supply-chain partners through reliable and observable interfaces.</w:t>
      </w:r>
    </w:p>
    <w:p>
      <w:pPr>
        <w:pStyle w:val="Heading2"/>
      </w:pPr>
      <w:r>
        <w:t>Partner Interoperability</w:t>
      </w:r>
    </w:p>
    <w:p>
      <w:r>
        <w:t>Partners should interact through well-defined APIs, contracts and governance mechanisms.</w:t>
      </w:r>
    </w:p>
    <w:p>
      <w:pPr>
        <w:pStyle w:val="Heading2"/>
      </w:pPr>
      <w:r>
        <w:t>Open Standards</w:t>
      </w:r>
    </w:p>
    <w:p>
      <w:r>
        <w:t>Prefer open, documented and versioned standards that promote portability and long-term interoperability.</w:t>
      </w:r>
    </w:p>
    <w:p>
      <w:pPr>
        <w:pStyle w:val="Heading2"/>
      </w:pPr>
      <w:r>
        <w:t>National Digital Infrastructure</w:t>
      </w:r>
    </w:p>
    <w:p>
      <w:r>
        <w:t>Align with trusted national digital initiatives where they strengthen user value and constitutional principles.</w:t>
      </w:r>
    </w:p>
    <w:p>
      <w:pPr>
        <w:pStyle w:val="Heading2"/>
      </w:pPr>
      <w:r>
        <w:t>Ecosystem Governance</w:t>
      </w:r>
    </w:p>
    <w:p>
      <w:r>
        <w:t>Every external integration should satisfy constitutional review, security, privacy and operational resilience requirements.</w:t>
      </w:r>
    </w:p>
    <w:p>
      <w:pPr>
        <w:pStyle w:val="Heading2"/>
      </w:pPr>
      <w:r>
        <w:t>Ecosystem Integration Flow</w:t>
      </w:r>
    </w:p>
    <w:p>
      <w:r>
        <w:t>Constitution</w:t>
        <w:br/>
        <w:t>↓</w:t>
        <w:br/>
        <w:t>Governed APIs</w:t>
        <w:br/>
        <w:t>↓</w:t>
        <w:br/>
        <w:t>Partner Integration</w:t>
        <w:br/>
        <w:t>↓</w:t>
        <w:br/>
        <w:t>Shared Services</w:t>
        <w:br/>
        <w:t>↓</w:t>
        <w:br/>
        <w:t>Trusted Ecosystem</w:t>
        <w:br/>
        <w:t>↓</w:t>
        <w:br/>
        <w:t>Continuous Governance</w:t>
      </w:r>
    </w:p>
    <w:p>
      <w:pPr>
        <w:pStyle w:val="Heading2"/>
      </w:pPr>
      <w:r>
        <w:t>Ecosystem Principles</w:t>
      </w:r>
    </w:p>
    <w:p>
      <w:pPr>
        <w:pStyle w:val="ListBullet"/>
      </w:pPr>
      <w:r>
        <w:t>Integrate through open standards.</w:t>
      </w:r>
    </w:p>
    <w:p>
      <w:pPr>
        <w:pStyle w:val="ListBullet"/>
      </w:pPr>
      <w:r>
        <w:t>Protect trust across ecosystems.</w:t>
      </w:r>
    </w:p>
    <w:p>
      <w:pPr>
        <w:pStyle w:val="ListBullet"/>
      </w:pPr>
      <w:r>
        <w:t>Preserve security and privacy.</w:t>
      </w:r>
    </w:p>
    <w:p>
      <w:pPr>
        <w:pStyle w:val="ListBullet"/>
      </w:pPr>
      <w:r>
        <w:t>Maintain interoperability.</w:t>
      </w:r>
    </w:p>
    <w:p>
      <w:pPr>
        <w:pStyle w:val="ListBullet"/>
      </w:pPr>
      <w:r>
        <w:t>Govern every external connection.</w:t>
      </w:r>
    </w:p>
    <w:p>
      <w:pPr>
        <w:pStyle w:val="ListBullet"/>
      </w:pPr>
      <w:r>
        <w:t>Every ecosystem integration honours the Constitution.</w:t>
      </w:r>
    </w:p>
    <w:p>
      <w:pPr>
        <w:pStyle w:val="Heading2"/>
      </w:pPr>
      <w:r>
        <w:t>Chapter Declaration</w:t>
      </w:r>
    </w:p>
    <w:p>
      <w:r>
        <w:t>The Constitutional Ecosystem Reference Architecture is the permanent integration framework of 3BOS, ensuring external collaboration remains secure, interoperable and constitutionally aligned.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