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 – Operations, Growth &amp; Future Roadmap</w:t>
        <w:br/>
      </w:r>
      <w:r>
        <w:t>Chapter 81 – The Business Sustainability &amp; Revenue Architecture</w:t>
      </w:r>
    </w:p>
    <w:p>
      <w:pPr>
        <w:pStyle w:val="Heading1"/>
      </w:pPr>
      <w:r>
        <w:t>Chapter 81 – The Business Sustainability &amp; Revenue Architecture</w:t>
      </w:r>
    </w:p>
    <w:p>
      <w:r>
        <w:t>A Human-First Business Operating System must be financially sustainable without compromising trust. Revenue should arise from creating measurable value for people and businesses rather than exploiting dependence or limiting essential participation.</w:t>
      </w:r>
    </w:p>
    <w:p>
      <w:pPr>
        <w:pStyle w:val="Heading2"/>
      </w:pPr>
      <w:r>
        <w:t>Purpose</w:t>
      </w:r>
    </w:p>
    <w:p>
      <w:r>
        <w:t>Define a sustainable financial architecture that supports long-term operation and innovation.</w:t>
      </w:r>
    </w:p>
    <w:p>
      <w:pPr>
        <w:pStyle w:val="Heading2"/>
      </w:pPr>
      <w:r>
        <w:t>Value-First Revenue</w:t>
      </w:r>
    </w:p>
    <w:p>
      <w:r>
        <w:t>Revenue is earned by delivering genuine business value, productivity and growth.</w:t>
      </w:r>
    </w:p>
    <w:p>
      <w:pPr>
        <w:pStyle w:val="Heading2"/>
      </w:pPr>
      <w:r>
        <w:t>Growth Plan Monetisation</w:t>
      </w:r>
    </w:p>
    <w:p>
      <w:r>
        <w:t>Business Growth Plans unlock progressively advanced capabilities while preserving access to essential functions.</w:t>
      </w:r>
    </w:p>
    <w:p>
      <w:pPr>
        <w:pStyle w:val="Heading2"/>
      </w:pPr>
      <w:r>
        <w:t>Marketplace Economics</w:t>
      </w:r>
    </w:p>
    <w:p>
      <w:r>
        <w:t>Marketplace services should encourage fair competition, transparency and trust for buyers and sellers alike.</w:t>
      </w:r>
    </w:p>
    <w:p>
      <w:pPr>
        <w:pStyle w:val="Heading2"/>
      </w:pPr>
      <w:r>
        <w:t>Subscription Philosophy</w:t>
      </w:r>
    </w:p>
    <w:p>
      <w:r>
        <w:t>Subscriptions represent ongoing value and partnership, not artificial restrictions or coercive upgrades.</w:t>
      </w:r>
    </w:p>
    <w:p>
      <w:pPr>
        <w:pStyle w:val="Heading2"/>
      </w:pPr>
      <w:r>
        <w:t>Partner Revenue Ecosystem</w:t>
      </w:r>
    </w:p>
    <w:p>
      <w:r>
        <w:t>Technology, financial, logistics and professional partners participate through mutually beneficial and transparent commercial models.</w:t>
      </w:r>
    </w:p>
    <w:p>
      <w:pPr>
        <w:pStyle w:val="Heading2"/>
      </w:pPr>
      <w:r>
        <w:t>Financial Sustainability</w:t>
      </w:r>
    </w:p>
    <w:p>
      <w:r>
        <w:t>Income should be diversified across products, services and ecosystem collaborations to strengthen resilience.</w:t>
      </w:r>
    </w:p>
    <w:p>
      <w:pPr>
        <w:pStyle w:val="Heading2"/>
      </w:pPr>
      <w:r>
        <w:t>Reinvestment</w:t>
      </w:r>
    </w:p>
    <w:p>
      <w:r>
        <w:t>A meaningful share of resources should be reinvested into product quality, innovation, customer success and ecosystem development.</w:t>
      </w:r>
    </w:p>
    <w:p>
      <w:pPr>
        <w:pStyle w:val="Heading2"/>
      </w:pPr>
      <w:r>
        <w:t>Long-Term Value Creation</w:t>
      </w:r>
    </w:p>
    <w:p>
      <w:r>
        <w:t>Business decisions should maximise enduring value for users, partners, employees and society.</w:t>
      </w:r>
    </w:p>
    <w:p>
      <w:pPr>
        <w:pStyle w:val="Heading2"/>
      </w:pPr>
      <w:r>
        <w:t>Revenue Architecture Flow</w:t>
      </w:r>
    </w:p>
    <w:p>
      <w:r>
        <w:t>Human Value</w:t>
        <w:br/>
        <w:t>↓</w:t>
        <w:br/>
        <w:t>Business Success</w:t>
        <w:br/>
        <w:t>↓</w:t>
        <w:br/>
        <w:t>Sustainable Revenue</w:t>
        <w:br/>
        <w:t>↓</w:t>
        <w:br/>
        <w:t>Reinvestment</w:t>
        <w:br/>
        <w:t>↓</w:t>
        <w:br/>
        <w:t>Innovation</w:t>
        <w:br/>
        <w:t>↓</w:t>
        <w:br/>
        <w:t>Long-Term Growth</w:t>
      </w:r>
    </w:p>
    <w:p>
      <w:pPr>
        <w:pStyle w:val="Heading2"/>
      </w:pPr>
      <w:r>
        <w:t>Revenue Principles</w:t>
      </w:r>
    </w:p>
    <w:p>
      <w:pPr>
        <w:pStyle w:val="ListBullet"/>
      </w:pPr>
      <w:r>
        <w:t>Create value before capturing value.</w:t>
      </w:r>
    </w:p>
    <w:p>
      <w:pPr>
        <w:pStyle w:val="ListBullet"/>
      </w:pPr>
      <w:r>
        <w:t>Monetise fairly and transparently.</w:t>
      </w:r>
    </w:p>
    <w:p>
      <w:pPr>
        <w:pStyle w:val="ListBullet"/>
      </w:pPr>
      <w:r>
        <w:t>Support sustainable business growth.</w:t>
      </w:r>
    </w:p>
    <w:p>
      <w:pPr>
        <w:pStyle w:val="ListBullet"/>
      </w:pPr>
      <w:r>
        <w:t>Reinvest in continuous improvement.</w:t>
      </w:r>
    </w:p>
    <w:p>
      <w:pPr>
        <w:pStyle w:val="ListBullet"/>
      </w:pPr>
      <w:r>
        <w:t>Build long-term partnerships.</w:t>
      </w:r>
    </w:p>
    <w:p>
      <w:pPr>
        <w:pStyle w:val="ListBullet"/>
      </w:pPr>
      <w:r>
        <w:t>Every revenue decision honours the Constitution.</w:t>
      </w:r>
    </w:p>
    <w:p>
      <w:pPr>
        <w:pStyle w:val="Heading2"/>
      </w:pPr>
      <w:r>
        <w:t>Chapter Declaration</w:t>
      </w:r>
    </w:p>
    <w:p>
      <w:r>
        <w:t>The Business Sustainability &amp; Revenue Architecture is the permanent financial framework of 3BOS. Every commercial model shall strengthen trust, fairness and long-term sustainability while remaining aligned with the constitutional philosophy of 3Bigha.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