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XII – Constitutional Execution &amp; Adoption</w:t>
        <w:br/>
      </w:r>
      <w:r>
        <w:t>Chapter 135 – Constitutional Human Experience (HX) Playbook</w:t>
      </w:r>
    </w:p>
    <w:p>
      <w:pPr>
        <w:pStyle w:val="Heading1"/>
      </w:pPr>
      <w:r>
        <w:t>Chapter 135 – Constitutional Human Experience (HX) Playbook</w:t>
      </w:r>
    </w:p>
    <w:p>
      <w:r>
        <w:t>This chapter establishes the constitutional handbook for Human Experience (HX) across 3BOS. Every interaction should respect human dignity, reduce complexity and help people achieve their goals with confidence.</w:t>
      </w:r>
    </w:p>
    <w:p>
      <w:pPr>
        <w:pStyle w:val="Heading2"/>
      </w:pPr>
      <w:r>
        <w:t>Purpose</w:t>
      </w:r>
    </w:p>
    <w:p>
      <w:r>
        <w:t>Provide a permanent framework for designing human-centred experiences.</w:t>
      </w:r>
    </w:p>
    <w:p>
      <w:pPr>
        <w:pStyle w:val="Heading2"/>
      </w:pPr>
      <w:r>
        <w:t>Human Experience Philosophy</w:t>
      </w:r>
    </w:p>
    <w:p>
      <w:r>
        <w:t>Technology should adapt to people rather than requiring people to adapt to technology.</w:t>
      </w:r>
    </w:p>
    <w:p>
      <w:pPr>
        <w:pStyle w:val="Heading2"/>
      </w:pPr>
      <w:r>
        <w:t>Human-First Interaction Principles</w:t>
      </w:r>
    </w:p>
    <w:p>
      <w:r>
        <w:t>Interfaces should be simple, predictable, respectful and easy to understand.</w:t>
      </w:r>
    </w:p>
    <w:p>
      <w:pPr>
        <w:pStyle w:val="Heading2"/>
      </w:pPr>
      <w:r>
        <w:t>Accessibility &amp; Inclusivity Standards</w:t>
      </w:r>
    </w:p>
    <w:p>
      <w:r>
        <w:t>Design for people of all abilities, backgrounds, languages and levels of digital literacy.</w:t>
      </w:r>
    </w:p>
    <w:p>
      <w:pPr>
        <w:pStyle w:val="Heading2"/>
      </w:pPr>
      <w:r>
        <w:t>Emotional Experience Design</w:t>
      </w:r>
    </w:p>
    <w:p>
      <w:r>
        <w:t>Reduce anxiety, build confidence and create experiences that respect users' time and dignity.</w:t>
      </w:r>
    </w:p>
    <w:p>
      <w:pPr>
        <w:pStyle w:val="Heading2"/>
      </w:pPr>
      <w:r>
        <w:t>Service Journey Design</w:t>
      </w:r>
    </w:p>
    <w:p>
      <w:r>
        <w:t>Optimise complete end-to-end journeys instead of isolated screens or features.</w:t>
      </w:r>
    </w:p>
    <w:p>
      <w:pPr>
        <w:pStyle w:val="Heading2"/>
      </w:pPr>
      <w:r>
        <w:t>Trust-Centred Interface Guidelines</w:t>
      </w:r>
    </w:p>
    <w:p>
      <w:r>
        <w:t>Use transparency, explainability and consistency to strengthen user trust.</w:t>
      </w:r>
    </w:p>
    <w:p>
      <w:pPr>
        <w:pStyle w:val="Heading2"/>
      </w:pPr>
      <w:r>
        <w:t>Experience Measurement Framework</w:t>
      </w:r>
    </w:p>
    <w:p>
      <w:r>
        <w:t>Measure usability, accessibility, satisfaction, task success and long-term confidence.</w:t>
      </w:r>
    </w:p>
    <w:p>
      <w:pPr>
        <w:pStyle w:val="Heading2"/>
      </w:pPr>
      <w:r>
        <w:t>Constitutional Human Experience Playbook</w:t>
      </w:r>
    </w:p>
    <w:p>
      <w:r>
        <w:t>Maintain a living handbook that evolves through user research, evidence and constitutional governance.</w:t>
      </w:r>
    </w:p>
    <w:p>
      <w:pPr>
        <w:pStyle w:val="Heading2"/>
      </w:pPr>
      <w:r>
        <w:t>Human Experience Lifecycle</w:t>
      </w:r>
    </w:p>
    <w:p>
      <w:r>
        <w:t>Human Need</w:t>
        <w:br/>
        <w:t>↓</w:t>
        <w:br/>
        <w:t>Understanding</w:t>
        <w:br/>
        <w:t>↓</w:t>
        <w:br/>
        <w:t>Design</w:t>
        <w:br/>
        <w:t>↓</w:t>
        <w:br/>
        <w:t>Interaction</w:t>
        <w:br/>
        <w:t>↓</w:t>
        <w:br/>
        <w:t>Trust</w:t>
        <w:br/>
        <w:t>↓</w:t>
        <w:br/>
        <w:t>Continuous Improvement</w:t>
      </w:r>
    </w:p>
    <w:p>
      <w:pPr>
        <w:pStyle w:val="Heading2"/>
      </w:pPr>
      <w:r>
        <w:t>HX Principles</w:t>
      </w:r>
    </w:p>
    <w:p>
      <w:pPr>
        <w:pStyle w:val="ListBullet"/>
      </w:pPr>
      <w:r>
        <w:t>Respect every person.</w:t>
      </w:r>
    </w:p>
    <w:p>
      <w:pPr>
        <w:pStyle w:val="ListBullet"/>
      </w:pPr>
      <w:r>
        <w:t>Keep experiences simple.</w:t>
      </w:r>
    </w:p>
    <w:p>
      <w:pPr>
        <w:pStyle w:val="ListBullet"/>
      </w:pPr>
      <w:r>
        <w:t>Design for everyone.</w:t>
      </w:r>
    </w:p>
    <w:p>
      <w:pPr>
        <w:pStyle w:val="ListBullet"/>
      </w:pPr>
      <w:r>
        <w:t>Build trust by design.</w:t>
      </w:r>
    </w:p>
    <w:p>
      <w:pPr>
        <w:pStyle w:val="ListBullet"/>
      </w:pPr>
      <w:r>
        <w:t>Continuously learn from users.</w:t>
      </w:r>
    </w:p>
    <w:p>
      <w:pPr>
        <w:pStyle w:val="ListBullet"/>
      </w:pPr>
      <w:r>
        <w:t>Every experience honours the Constitution.</w:t>
      </w:r>
    </w:p>
    <w:p>
      <w:pPr>
        <w:pStyle w:val="Heading2"/>
      </w:pPr>
      <w:r>
        <w:t>Chapter Declaration</w:t>
      </w:r>
    </w:p>
    <w:p>
      <w:r>
        <w:t>The Constitutional Human Experience (HX) Playbook is adopted as the permanent human experience handbook of 3BOS, ensuring every interaction reflects the enduring philosophy of Human First. AI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