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X – Living Constitution &amp; Institutional Continuity</w:t>
        <w:br/>
      </w:r>
      <w:r>
        <w:t>Chapter 115 – Constitutional Change Portfolio &amp; Transformation Management</w:t>
      </w:r>
    </w:p>
    <w:p>
      <w:pPr>
        <w:pStyle w:val="Heading1"/>
      </w:pPr>
      <w:r>
        <w:t>Chapter 115 – Constitutional Change Portfolio &amp; Transformation Management</w:t>
      </w:r>
    </w:p>
    <w:p>
      <w:r>
        <w:t>Large-scale transformation should be governed with the same discipline as the Constitution itself. This chapter establishes a permanent framework for planning, prioritising, governing and measuring constitutional change across 3BOS.</w:t>
      </w:r>
    </w:p>
    <w:p>
      <w:pPr>
        <w:pStyle w:val="Heading2"/>
      </w:pPr>
      <w:r>
        <w:t>Purpose</w:t>
      </w:r>
    </w:p>
    <w:p>
      <w:r>
        <w:t>Define a constitutional framework for governing enterprise-scale transformation.</w:t>
      </w:r>
    </w:p>
    <w:p>
      <w:pPr>
        <w:pStyle w:val="Heading2"/>
      </w:pPr>
      <w:r>
        <w:t>Transformation Governance</w:t>
      </w:r>
    </w:p>
    <w:p>
      <w:r>
        <w:t>Every major transformation shall align with constitutional principles before execution.</w:t>
      </w:r>
    </w:p>
    <w:p>
      <w:pPr>
        <w:pStyle w:val="Heading2"/>
      </w:pPr>
      <w:r>
        <w:t>Constitutional Change Portfolio</w:t>
      </w:r>
    </w:p>
    <w:p>
      <w:r>
        <w:t>Maintain a governed portfolio of strategic initiatives with clear priorities, dependencies and expected outcomes.</w:t>
      </w:r>
    </w:p>
    <w:p>
      <w:pPr>
        <w:pStyle w:val="Heading2"/>
      </w:pPr>
      <w:r>
        <w:t>Change Impact Assessment</w:t>
      </w:r>
    </w:p>
    <w:p>
      <w:r>
        <w:t>Assess human, operational, architectural, financial and ecosystem impacts before approving significant change.</w:t>
      </w:r>
    </w:p>
    <w:p>
      <w:pPr>
        <w:pStyle w:val="Heading2"/>
      </w:pPr>
      <w:r>
        <w:t>Stakeholder Alignment</w:t>
      </w:r>
    </w:p>
    <w:p>
      <w:r>
        <w:t>Ensure contributors, partners and affected communities understand the purpose, scope and expected benefits of change.</w:t>
      </w:r>
    </w:p>
    <w:p>
      <w:pPr>
        <w:pStyle w:val="Heading2"/>
      </w:pPr>
      <w:r>
        <w:t>Organisational Readiness</w:t>
      </w:r>
    </w:p>
    <w:p>
      <w:r>
        <w:t>Evaluate skills, processes, technology and governance readiness before implementation.</w:t>
      </w:r>
    </w:p>
    <w:p>
      <w:pPr>
        <w:pStyle w:val="Heading2"/>
      </w:pPr>
      <w:r>
        <w:t>Transformation Execution</w:t>
      </w:r>
    </w:p>
    <w:p>
      <w:r>
        <w:t>Execute change incrementally with measurable milestones, reviews and constitutional oversight.</w:t>
      </w:r>
    </w:p>
    <w:p>
      <w:pPr>
        <w:pStyle w:val="Heading2"/>
      </w:pPr>
      <w:r>
        <w:t>Benefits Realisation</w:t>
      </w:r>
    </w:p>
    <w:p>
      <w:r>
        <w:t>Measure whether transformation delivers the intended constitutional, human and business outcomes.</w:t>
      </w:r>
    </w:p>
    <w:p>
      <w:pPr>
        <w:pStyle w:val="Heading2"/>
      </w:pPr>
      <w:r>
        <w:t>Transformation Dashboard</w:t>
      </w:r>
    </w:p>
    <w:p>
      <w:r>
        <w:t>Maintain transparent reporting of progress, risks, benefits and constitutional alignment.</w:t>
      </w:r>
    </w:p>
    <w:p>
      <w:pPr>
        <w:pStyle w:val="Heading2"/>
      </w:pPr>
      <w:r>
        <w:t>Transformation Lifecycle</w:t>
      </w:r>
    </w:p>
    <w:p>
      <w:r>
        <w:t>Constitution</w:t>
        <w:br/>
        <w:t>↓</w:t>
        <w:br/>
        <w:t>Portfolio</w:t>
        <w:br/>
        <w:t>↓</w:t>
        <w:br/>
        <w:t>Assessment</w:t>
        <w:br/>
        <w:t>↓</w:t>
        <w:br/>
        <w:t>Execution</w:t>
        <w:br/>
        <w:t>↓</w:t>
        <w:br/>
        <w:t>Measurement</w:t>
        <w:br/>
        <w:t>↓</w:t>
        <w:br/>
        <w:t>Benefits</w:t>
        <w:br/>
        <w:t>↓</w:t>
        <w:br/>
        <w:t>Continuous Renewal</w:t>
      </w:r>
    </w:p>
    <w:p>
      <w:pPr>
        <w:pStyle w:val="Heading2"/>
      </w:pPr>
      <w:r>
        <w:t>Transformation Principles</w:t>
      </w:r>
    </w:p>
    <w:p>
      <w:pPr>
        <w:pStyle w:val="ListBullet"/>
      </w:pPr>
      <w:r>
        <w:t>Transform with purpose.</w:t>
      </w:r>
    </w:p>
    <w:p>
      <w:pPr>
        <w:pStyle w:val="ListBullet"/>
      </w:pPr>
      <w:r>
        <w:t>Prepare before changing.</w:t>
      </w:r>
    </w:p>
    <w:p>
      <w:pPr>
        <w:pStyle w:val="ListBullet"/>
      </w:pPr>
      <w:r>
        <w:t>Measure outcomes, not activity.</w:t>
      </w:r>
    </w:p>
    <w:p>
      <w:pPr>
        <w:pStyle w:val="ListBullet"/>
      </w:pPr>
      <w:r>
        <w:t>Protect constitutional continuity.</w:t>
      </w:r>
    </w:p>
    <w:p>
      <w:pPr>
        <w:pStyle w:val="ListBullet"/>
      </w:pPr>
      <w:r>
        <w:t>Learn from every transformation.</w:t>
      </w:r>
    </w:p>
    <w:p>
      <w:pPr>
        <w:pStyle w:val="ListBullet"/>
      </w:pPr>
      <w:r>
        <w:t>Every transformation honours the Constitution.</w:t>
      </w:r>
    </w:p>
    <w:p>
      <w:pPr>
        <w:pStyle w:val="Heading2"/>
      </w:pPr>
      <w:r>
        <w:t>Chapter Declaration</w:t>
      </w:r>
    </w:p>
    <w:p>
      <w:r>
        <w:t>The Constitutional Change Portfolio &amp; Transformation Management framework is adopted as the permanent transformation governance standard of 3BOS, ensuring enterprise-scale change remains disciplined, transparent and constitutionally aligned.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