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Part IV — Persistence Architecture</w:t>
        <w:br/>
      </w:r>
      <w:r>
        <w:t>Subpart IV.10 — Engineering Guidelines, Migration Strategy &amp; Technical Appendix</w:t>
      </w:r>
    </w:p>
    <w:p>
      <w:pPr>
        <w:pStyle w:val="Heading1"/>
      </w:pPr>
      <w:r>
        <w:t>Purpose</w:t>
      </w:r>
    </w:p>
    <w:p>
      <w:r>
        <w:t>This final subpart of Part IV converts the live-portal gap analysis into a disciplined engineering programme. Its purpose is to help 3Bigha evolve from a compatibility-based 3BOS interpretation into a persistent, authoritative, human-first operating architecture without breaking production.</w:t>
      </w:r>
    </w:p>
    <w:p>
      <w:r>
        <w:t>The central rule is simple: the Constitution must become operational through small, reversible, observable changes. The target architecture is important, but production continuity is equally constitutional. A migration that damages trust, confuses users or destroys working business processes would contradict the philosophy it is intended to implement.</w:t>
      </w:r>
    </w:p>
    <w:p>
      <w:pPr>
        <w:pStyle w:val="Heading1"/>
      </w:pPr>
      <w:r>
        <w:t>1. Non-Negotiable Engineering Principles</w:t>
      </w:r>
    </w:p>
    <w:p>
      <w:pPr>
        <w:pStyle w:val="Heading2"/>
      </w:pPr>
      <w:r>
        <w:t>Additive before destructive</w:t>
      </w:r>
    </w:p>
    <w:p>
      <w:r>
        <w:t>Introduce new constitutional records, adapters and projections before removing legacy structures.</w:t>
      </w:r>
    </w:p>
    <w:p>
      <w:pPr>
        <w:pStyle w:val="Heading2"/>
      </w:pPr>
      <w:r>
        <w:t>Read before write</w:t>
      </w:r>
    </w:p>
    <w:p>
      <w:r>
        <w:t>Begin every new integration as a read-only interpretation until behaviour is verified against production data.</w:t>
      </w:r>
    </w:p>
    <w:p>
      <w:pPr>
        <w:pStyle w:val="Heading2"/>
      </w:pPr>
      <w:r>
        <w:t>Shadow before authority</w:t>
      </w:r>
    </w:p>
    <w:p>
      <w:r>
        <w:t>Run new identity, workspace and policy decisions beside existing logic before making them authoritative.</w:t>
      </w:r>
    </w:p>
    <w:p>
      <w:pPr>
        <w:pStyle w:val="Heading2"/>
      </w:pPr>
      <w:r>
        <w:t>One vertical journey at a time</w:t>
      </w:r>
    </w:p>
    <w:p>
      <w:r>
        <w:t>Transform complete human journeys instead of migrating isolated horizontal layers across the whole portal.</w:t>
      </w:r>
    </w:p>
    <w:p>
      <w:pPr>
        <w:pStyle w:val="Heading2"/>
      </w:pPr>
      <w:r>
        <w:t>Stable internal keys</w:t>
      </w:r>
    </w:p>
    <w:p>
      <w:r>
        <w:t>Keep persistent identifiers stable even when public language changes.</w:t>
      </w:r>
    </w:p>
    <w:p>
      <w:pPr>
        <w:pStyle w:val="Heading2"/>
      </w:pPr>
      <w:r>
        <w:t>Routes are compatibility contracts</w:t>
      </w:r>
    </w:p>
    <w:p>
      <w:r>
        <w:t>Preserve existing routes until all consumers, bookmarks and integrations have migrated.</w:t>
      </w:r>
    </w:p>
    <w:p>
      <w:pPr>
        <w:pStyle w:val="Heading2"/>
      </w:pPr>
      <w:r>
        <w:t>Server-side authority</w:t>
      </w:r>
    </w:p>
    <w:p>
      <w:r>
        <w:t>Sensitive identity, permission, plan and administrative decisions must remain server-controlled.</w:t>
      </w:r>
    </w:p>
    <w:p>
      <w:pPr>
        <w:pStyle w:val="Heading2"/>
      </w:pPr>
      <w:r>
        <w:t>Explicit evidence</w:t>
      </w:r>
    </w:p>
    <w:p>
      <w:r>
        <w:t>Every important constitutional decision must be explainable from persisted facts and policy rules.</w:t>
      </w:r>
    </w:p>
    <w:p>
      <w:pPr>
        <w:pStyle w:val="Heading2"/>
      </w:pPr>
      <w:r>
        <w:t>Rebuildable presentation</w:t>
      </w:r>
    </w:p>
    <w:p>
      <w:r>
        <w:t>Dashboards, search views and AI context should be projections, not alternate sources of truth.</w:t>
      </w:r>
    </w:p>
    <w:p>
      <w:pPr>
        <w:pStyle w:val="Heading2"/>
      </w:pPr>
      <w:r>
        <w:t>Rollback is part of design</w:t>
      </w:r>
    </w:p>
    <w:p>
      <w:r>
        <w:t>Every migration must define how to return safely to the previous state.</w:t>
      </w:r>
    </w:p>
    <w:p>
      <w:pPr>
        <w:pStyle w:val="Heading1"/>
      </w:pPr>
      <w:r>
        <w:t>2. Target Repository Structure</w:t>
      </w:r>
    </w:p>
    <w:p>
      <w:r>
        <w:t>The existing lib/3bos foundation should remain the constitutional architecture root. The following structure is recommended as the system moves from definitions to persistent runtime services:</w:t>
      </w:r>
    </w:p>
    <w:p>
      <w:pPr>
        <w:pStyle w:val="ListBullet"/>
      </w:pPr>
      <w:r>
        <w:t>lib/3bos/identity/definitions — canonical identity taxonomy</w:t>
      </w:r>
    </w:p>
    <w:p>
      <w:pPr>
        <w:pStyle w:val="ListBullet"/>
      </w:pPr>
      <w:r>
        <w:t>lib/3bos/identity/persistence — repositories and database mappers</w:t>
      </w:r>
    </w:p>
    <w:p>
      <w:pPr>
        <w:pStyle w:val="ListBullet"/>
      </w:pPr>
      <w:r>
        <w:t>lib/3bos/identity/services — identity selection, confirmation and verification</w:t>
      </w:r>
    </w:p>
    <w:p>
      <w:pPr>
        <w:pStyle w:val="ListBullet"/>
      </w:pPr>
      <w:r>
        <w:t>lib/3bos/organisation — organisation types, entities and representatives</w:t>
      </w:r>
    </w:p>
    <w:p>
      <w:pPr>
        <w:pStyle w:val="ListBullet"/>
      </w:pPr>
      <w:r>
        <w:t>lib/3bos/workspace/definitions — workspace type registry</w:t>
      </w:r>
    </w:p>
    <w:p>
      <w:pPr>
        <w:pStyle w:val="ListBullet"/>
      </w:pPr>
      <w:r>
        <w:t>lib/3bos/workspace/persistence — instances, membership and delegation</w:t>
      </w:r>
    </w:p>
    <w:p>
      <w:pPr>
        <w:pStyle w:val="ListBullet"/>
      </w:pPr>
      <w:r>
        <w:t>lib/3bos/capability/definitions — capability catalogue</w:t>
      </w:r>
    </w:p>
    <w:p>
      <w:pPr>
        <w:pStyle w:val="ListBullet"/>
      </w:pPr>
      <w:r>
        <w:t>lib/3bos/capability/policy — entitlement and policy evaluation</w:t>
      </w:r>
    </w:p>
    <w:p>
      <w:pPr>
        <w:pStyle w:val="ListBullet"/>
      </w:pPr>
      <w:r>
        <w:t>lib/3bos/growth — Growth Plan registry and commercial-access adapter</w:t>
      </w:r>
    </w:p>
    <w:p>
      <w:pPr>
        <w:pStyle w:val="ListBullet"/>
      </w:pPr>
      <w:r>
        <w:t>lib/3bos/relationships — typed relationship model and traversal</w:t>
      </w:r>
    </w:p>
    <w:p>
      <w:pPr>
        <w:pStyle w:val="ListBullet"/>
      </w:pPr>
      <w:r>
        <w:t>lib/3bos/events — event contracts, append service and projections</w:t>
      </w:r>
    </w:p>
    <w:p>
      <w:pPr>
        <w:pStyle w:val="ListBullet"/>
      </w:pPr>
      <w:r>
        <w:t>lib/3bos/runtime/compatibility — current legacy resolver</w:t>
      </w:r>
    </w:p>
    <w:p>
      <w:pPr>
        <w:pStyle w:val="ListBullet"/>
      </w:pPr>
      <w:r>
        <w:t>lib/3bos/runtime/authoritative — persistent constitutional runtime</w:t>
      </w:r>
    </w:p>
    <w:p>
      <w:pPr>
        <w:pStyle w:val="ListBullet"/>
      </w:pPr>
      <w:r>
        <w:t>lib/3bos/runtime/reconciliation — mismatch detection and safe fallback</w:t>
      </w:r>
    </w:p>
    <w:p>
      <w:pPr>
        <w:pStyle w:val="ListBullet"/>
      </w:pPr>
      <w:r>
        <w:t>lib/3bos/projections — workspace, marketplace, search and AI read models</w:t>
      </w:r>
    </w:p>
    <w:p>
      <w:pPr>
        <w:pStyle w:val="ListBullet"/>
      </w:pPr>
      <w:r>
        <w:t>lib/3bos/audit — verification scripts, drift reports and policy evidence</w:t>
      </w:r>
    </w:p>
    <w:p>
      <w:pPr>
        <w:pStyle w:val="Heading1"/>
      </w:pPr>
      <w:r>
        <w:t>3. Database Migration Sequence</w:t>
      </w:r>
    </w:p>
    <w:p>
      <w:r>
        <w:t>No table should be created merely because it appears in the target model. Each table must have a clear owner, RLS strategy, indexes, migration source, rollback path and operational consumer.</w:t>
      </w:r>
    </w:p>
    <w:p>
      <w:pPr>
        <w:pStyle w:val="Heading2"/>
      </w:pPr>
      <w:r>
        <w:t>Migration 1 — Human Entities</w:t>
      </w:r>
    </w:p>
    <w:p>
      <w:r>
        <w:t>Create a canonical table for natural persons. Link it to auth users without replacing authentication. Support one active person record per user initially, while keeping the model open for future account recovery, guardianship and merged identities.</w:t>
      </w:r>
    </w:p>
    <w:p>
      <w:pPr>
        <w:pStyle w:val="Heading2"/>
      </w:pPr>
      <w:r>
        <w:t>Migration 2 — Organisation Entities</w:t>
      </w:r>
    </w:p>
    <w:p>
      <w:r>
        <w:t>Create a separate organisation table for businesses, institutions, departments, municipalities, panchayats, societies and public bodies. Do not represent these as human identities.</w:t>
      </w:r>
    </w:p>
    <w:p>
      <w:pPr>
        <w:pStyle w:val="Heading2"/>
      </w:pPr>
      <w:r>
        <w:t>Migration 3 — Identity Assignments</w:t>
      </w:r>
    </w:p>
    <w:p>
      <w:r>
        <w:t>Persist one or more identity assignments per human. Include identity key, source, confidence, confirmation status, verification status, effective dates and preferred flag.</w:t>
      </w:r>
    </w:p>
    <w:p>
      <w:pPr>
        <w:pStyle w:val="Heading2"/>
      </w:pPr>
      <w:r>
        <w:t>Migration 4 — Workspace Instances</w:t>
      </w:r>
    </w:p>
    <w:p>
      <w:r>
        <w:t>Create actual workspaces derived from confirmed identity and organisation relationships. Store type, purpose, status, steward and lifecycle timestamps.</w:t>
      </w:r>
    </w:p>
    <w:p>
      <w:pPr>
        <w:pStyle w:val="Heading2"/>
      </w:pPr>
      <w:r>
        <w:t>Migration 5 — Workspace Memberships</w:t>
      </w:r>
    </w:p>
    <w:p>
      <w:r>
        <w:t>Persist human-to-workspace membership, participation status, delegated authority, validity and invitation history.</w:t>
      </w:r>
    </w:p>
    <w:p>
      <w:pPr>
        <w:pStyle w:val="Heading2"/>
      </w:pPr>
      <w:r>
        <w:t>Migration 6 — Growth Plan Assignments</w:t>
      </w:r>
    </w:p>
    <w:p>
      <w:r>
        <w:t>Connect the authoritative commercial-access source to constitutional Growth Plan assignments while preserving legacy plan values.</w:t>
      </w:r>
    </w:p>
    <w:p>
      <w:pPr>
        <w:pStyle w:val="Heading2"/>
      </w:pPr>
      <w:r>
        <w:t>Migration 7 — Capability Entitlements</w:t>
      </w:r>
    </w:p>
    <w:p>
      <w:r>
        <w:t>Persist capability scope, source, level, workspace, validity and policy prerequisites. Use this as input to authorization, not as a replacement for RLS.</w:t>
      </w:r>
    </w:p>
    <w:p>
      <w:pPr>
        <w:pStyle w:val="Heading2"/>
      </w:pPr>
      <w:r>
        <w:t>Migration 8 — Relationship Registry</w:t>
      </w:r>
    </w:p>
    <w:p>
      <w:r>
        <w:t>Centralize representative, member, steward, owner, mentor, partner and delegation relationships with validity and history.</w:t>
      </w:r>
    </w:p>
    <w:p>
      <w:pPr>
        <w:pStyle w:val="Heading2"/>
      </w:pPr>
      <w:r>
        <w:t>Migration 9 — Constitutional Events</w:t>
      </w:r>
    </w:p>
    <w:p>
      <w:r>
        <w:t>Append identity, workspace, capability, plan, trust and delegation events. Start with a small event set tied to new writes.</w:t>
      </w:r>
    </w:p>
    <w:p>
      <w:pPr>
        <w:pStyle w:val="Heading2"/>
      </w:pPr>
      <w:r>
        <w:t>Migration 10 — Projection Checkpoints</w:t>
      </w:r>
    </w:p>
    <w:p>
      <w:r>
        <w:t>Add rebuildable read models only after authoritative writes and events are stable.</w:t>
      </w:r>
    </w:p>
    <w:p>
      <w:pPr>
        <w:pStyle w:val="Heading1"/>
      </w:pPr>
      <w:r>
        <w:t>4. Suggested Core Tables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Table</w:t>
            </w:r>
          </w:p>
        </w:tc>
        <w:tc>
          <w:tcPr>
            <w:tcW w:type="dxa" w:w="2016"/>
          </w:tcPr>
          <w:p>
            <w:r>
              <w:t>Primary Responsibility</w:t>
            </w:r>
          </w:p>
        </w:tc>
        <w:tc>
          <w:tcPr>
            <w:tcW w:type="dxa" w:w="2016"/>
          </w:tcPr>
          <w:p>
            <w:r>
              <w:t>Key Relationships</w:t>
            </w:r>
          </w:p>
        </w:tc>
        <w:tc>
          <w:tcPr>
            <w:tcW w:type="dxa" w:w="2016"/>
          </w:tcPr>
          <w:p>
            <w:r>
              <w:t>Migration Source</w:t>
            </w:r>
          </w:p>
        </w:tc>
        <w:tc>
          <w:tcPr>
            <w:tcW w:type="dxa" w:w="2016"/>
          </w:tcPr>
          <w:p>
            <w:r>
              <w:t>Initial Authority</w:t>
            </w:r>
          </w:p>
        </w:tc>
      </w:tr>
      <w:tr>
        <w:tc>
          <w:tcPr>
            <w:tcW w:type="dxa" w:w="2016"/>
          </w:tcPr>
          <w:p>
            <w:r>
              <w:t>bos_humans</w:t>
            </w:r>
          </w:p>
        </w:tc>
        <w:tc>
          <w:tcPr>
            <w:tcW w:type="dxa" w:w="2016"/>
          </w:tcPr>
          <w:p>
            <w:r>
              <w:t>Natural persons</w:t>
            </w:r>
          </w:p>
        </w:tc>
        <w:tc>
          <w:tcPr>
            <w:tcW w:type="dxa" w:w="2016"/>
          </w:tcPr>
          <w:p>
            <w:r>
              <w:t>auth.users, profiles</w:t>
            </w:r>
          </w:p>
        </w:tc>
        <w:tc>
          <w:tcPr>
            <w:tcW w:type="dxa" w:w="2016"/>
          </w:tcPr>
          <w:p>
            <w:r>
              <w:t>profiles.id</w:t>
            </w:r>
          </w:p>
        </w:tc>
        <w:tc>
          <w:tcPr>
            <w:tcW w:type="dxa" w:w="2016"/>
          </w:tcPr>
          <w:p>
            <w:r>
              <w:t>Read-through compatibility</w:t>
            </w:r>
          </w:p>
        </w:tc>
      </w:tr>
      <w:tr>
        <w:tc>
          <w:tcPr>
            <w:tcW w:type="dxa" w:w="2016"/>
          </w:tcPr>
          <w:p>
            <w:r>
              <w:t>bos_organisations</w:t>
            </w:r>
          </w:p>
        </w:tc>
        <w:tc>
          <w:tcPr>
            <w:tcW w:type="dxa" w:w="2016"/>
          </w:tcPr>
          <w:p>
            <w:r>
              <w:t>Businesses and institutions</w:t>
            </w:r>
          </w:p>
        </w:tc>
        <w:tc>
          <w:tcPr>
            <w:tcW w:type="dxa" w:w="2016"/>
          </w:tcPr>
          <w:p>
            <w:r>
              <w:t>business_profiles, humans</w:t>
            </w:r>
          </w:p>
        </w:tc>
        <w:tc>
          <w:tcPr>
            <w:tcW w:type="dxa" w:w="2016"/>
          </w:tcPr>
          <w:p>
            <w:r>
              <w:t>business_profiles</w:t>
            </w:r>
          </w:p>
        </w:tc>
        <w:tc>
          <w:tcPr>
            <w:tcW w:type="dxa" w:w="2016"/>
          </w:tcPr>
          <w:p>
            <w:r>
              <w:t>Compatibility</w:t>
            </w:r>
          </w:p>
        </w:tc>
      </w:tr>
      <w:tr>
        <w:tc>
          <w:tcPr>
            <w:tcW w:type="dxa" w:w="2016"/>
          </w:tcPr>
          <w:p>
            <w:r>
              <w:t>bos_identity_assignments</w:t>
            </w:r>
          </w:p>
        </w:tc>
        <w:tc>
          <w:tcPr>
            <w:tcW w:type="dxa" w:w="2016"/>
          </w:tcPr>
          <w:p>
            <w:r>
              <w:t>Human identity selection</w:t>
            </w:r>
          </w:p>
        </w:tc>
        <w:tc>
          <w:tcPr>
            <w:tcW w:type="dxa" w:w="2016"/>
          </w:tcPr>
          <w:p>
            <w:r>
              <w:t>humans, identity registry</w:t>
            </w:r>
          </w:p>
        </w:tc>
        <w:tc>
          <w:tcPr>
            <w:tcW w:type="dxa" w:w="2016"/>
          </w:tcPr>
          <w:p>
            <w:r>
              <w:t>legacy resolver</w:t>
            </w:r>
          </w:p>
        </w:tc>
        <w:tc>
          <w:tcPr>
            <w:tcW w:type="dxa" w:w="2016"/>
          </w:tcPr>
          <w:p>
            <w:r>
              <w:t>Shadow</w:t>
            </w:r>
          </w:p>
        </w:tc>
      </w:tr>
      <w:tr>
        <w:tc>
          <w:tcPr>
            <w:tcW w:type="dxa" w:w="2016"/>
          </w:tcPr>
          <w:p>
            <w:r>
              <w:t>bos_workspaces</w:t>
            </w:r>
          </w:p>
        </w:tc>
        <w:tc>
          <w:tcPr>
            <w:tcW w:type="dxa" w:w="2016"/>
          </w:tcPr>
          <w:p>
            <w:r>
              <w:t>Workspace instances</w:t>
            </w:r>
          </w:p>
        </w:tc>
        <w:tc>
          <w:tcPr>
            <w:tcW w:type="dxa" w:w="2016"/>
          </w:tcPr>
          <w:p>
            <w:r>
              <w:t>humans, organisations</w:t>
            </w:r>
          </w:p>
        </w:tc>
        <w:tc>
          <w:tcPr>
            <w:tcW w:type="dxa" w:w="2016"/>
          </w:tcPr>
          <w:p>
            <w:r>
              <w:t>workspace definitions</w:t>
            </w:r>
          </w:p>
        </w:tc>
        <w:tc>
          <w:tcPr>
            <w:tcW w:type="dxa" w:w="2016"/>
          </w:tcPr>
          <w:p>
            <w:r>
              <w:t>Shadow</w:t>
            </w:r>
          </w:p>
        </w:tc>
      </w:tr>
      <w:tr>
        <w:tc>
          <w:tcPr>
            <w:tcW w:type="dxa" w:w="2016"/>
          </w:tcPr>
          <w:p>
            <w:r>
              <w:t>bos_workspace_memberships</w:t>
            </w:r>
          </w:p>
        </w:tc>
        <w:tc>
          <w:tcPr>
            <w:tcW w:type="dxa" w:w="2016"/>
          </w:tcPr>
          <w:p>
            <w:r>
              <w:t>Participation and stewardship</w:t>
            </w:r>
          </w:p>
        </w:tc>
        <w:tc>
          <w:tcPr>
            <w:tcW w:type="dxa" w:w="2016"/>
          </w:tcPr>
          <w:p>
            <w:r>
              <w:t>humans, workspaces</w:t>
            </w:r>
          </w:p>
        </w:tc>
        <w:tc>
          <w:tcPr>
            <w:tcW w:type="dxa" w:w="2016"/>
          </w:tcPr>
          <w:p>
            <w:r>
              <w:t>legacy ownership/membership</w:t>
            </w:r>
          </w:p>
        </w:tc>
        <w:tc>
          <w:tcPr>
            <w:tcW w:type="dxa" w:w="2016"/>
          </w:tcPr>
          <w:p>
            <w:r>
              <w:t>Shadow</w:t>
            </w:r>
          </w:p>
        </w:tc>
      </w:tr>
      <w:tr>
        <w:tc>
          <w:tcPr>
            <w:tcW w:type="dxa" w:w="2016"/>
          </w:tcPr>
          <w:p>
            <w:r>
              <w:t>bos_growth_plan_assignments</w:t>
            </w:r>
          </w:p>
        </w:tc>
        <w:tc>
          <w:tcPr>
            <w:tcW w:type="dxa" w:w="2016"/>
          </w:tcPr>
          <w:p>
            <w:r>
              <w:t>Commercial growth stage</w:t>
            </w:r>
          </w:p>
        </w:tc>
        <w:tc>
          <w:tcPr>
            <w:tcW w:type="dxa" w:w="2016"/>
          </w:tcPr>
          <w:p>
            <w:r>
              <w:t>workspaces, access source</w:t>
            </w:r>
          </w:p>
        </w:tc>
        <w:tc>
          <w:tcPr>
            <w:tcW w:type="dxa" w:w="2016"/>
          </w:tcPr>
          <w:p>
            <w:r>
              <w:t>subscription/access records</w:t>
            </w:r>
          </w:p>
        </w:tc>
        <w:tc>
          <w:tcPr>
            <w:tcW w:type="dxa" w:w="2016"/>
          </w:tcPr>
          <w:p>
            <w:r>
              <w:t>Compatibility</w:t>
            </w:r>
          </w:p>
        </w:tc>
      </w:tr>
      <w:tr>
        <w:tc>
          <w:tcPr>
            <w:tcW w:type="dxa" w:w="2016"/>
          </w:tcPr>
          <w:p>
            <w:r>
              <w:t>bos_capability_entitlements</w:t>
            </w:r>
          </w:p>
        </w:tc>
        <w:tc>
          <w:tcPr>
            <w:tcW w:type="dxa" w:w="2016"/>
          </w:tcPr>
          <w:p>
            <w:r>
              <w:t>Contextual capability level</w:t>
            </w:r>
          </w:p>
        </w:tc>
        <w:tc>
          <w:tcPr>
            <w:tcW w:type="dxa" w:w="2016"/>
          </w:tcPr>
          <w:p>
            <w:r>
              <w:t>identity, workspace, plan</w:t>
            </w:r>
          </w:p>
        </w:tc>
        <w:tc>
          <w:tcPr>
            <w:tcW w:type="dxa" w:w="2016"/>
          </w:tcPr>
          <w:p>
            <w:r>
              <w:t>runtime resolver</w:t>
            </w:r>
          </w:p>
        </w:tc>
        <w:tc>
          <w:tcPr>
            <w:tcW w:type="dxa" w:w="2016"/>
          </w:tcPr>
          <w:p>
            <w:r>
              <w:t>Shadow</w:t>
            </w:r>
          </w:p>
        </w:tc>
      </w:tr>
      <w:tr>
        <w:tc>
          <w:tcPr>
            <w:tcW w:type="dxa" w:w="2016"/>
          </w:tcPr>
          <w:p>
            <w:r>
              <w:t>bos_relationships</w:t>
            </w:r>
          </w:p>
        </w:tc>
        <w:tc>
          <w:tcPr>
            <w:tcW w:type="dxa" w:w="2016"/>
          </w:tcPr>
          <w:p>
            <w:r>
              <w:t>Typed constitutional graph</w:t>
            </w:r>
          </w:p>
        </w:tc>
        <w:tc>
          <w:tcPr>
            <w:tcW w:type="dxa" w:w="2016"/>
          </w:tcPr>
          <w:p>
            <w:r>
              <w:t>human/org/workspace</w:t>
            </w:r>
          </w:p>
        </w:tc>
        <w:tc>
          <w:tcPr>
            <w:tcW w:type="dxa" w:w="2016"/>
          </w:tcPr>
          <w:p>
            <w:r>
              <w:t>legacy ownership tables</w:t>
            </w:r>
          </w:p>
        </w:tc>
        <w:tc>
          <w:tcPr>
            <w:tcW w:type="dxa" w:w="2016"/>
          </w:tcPr>
          <w:p>
            <w:r>
              <w:t>Shadow</w:t>
            </w:r>
          </w:p>
        </w:tc>
      </w:tr>
      <w:tr>
        <w:tc>
          <w:tcPr>
            <w:tcW w:type="dxa" w:w="2016"/>
          </w:tcPr>
          <w:p>
            <w:r>
              <w:t>bos_events</w:t>
            </w:r>
          </w:p>
        </w:tc>
        <w:tc>
          <w:tcPr>
            <w:tcW w:type="dxa" w:w="2016"/>
          </w:tcPr>
          <w:p>
            <w:r>
              <w:t>Immutable constitutional history</w:t>
            </w:r>
          </w:p>
        </w:tc>
        <w:tc>
          <w:tcPr>
            <w:tcW w:type="dxa" w:w="2016"/>
          </w:tcPr>
          <w:p>
            <w:r>
              <w:t>all constitutional objects</w:t>
            </w:r>
          </w:p>
        </w:tc>
        <w:tc>
          <w:tcPr>
            <w:tcW w:type="dxa" w:w="2016"/>
          </w:tcPr>
          <w:p>
            <w:r>
              <w:t>new writes only</w:t>
            </w:r>
          </w:p>
        </w:tc>
        <w:tc>
          <w:tcPr>
            <w:tcW w:type="dxa" w:w="2016"/>
          </w:tcPr>
          <w:p>
            <w:r>
              <w:t>Authoritative for new events</w:t>
            </w:r>
          </w:p>
        </w:tc>
      </w:tr>
      <w:tr>
        <w:tc>
          <w:tcPr>
            <w:tcW w:type="dxa" w:w="2016"/>
          </w:tcPr>
          <w:p>
            <w:r>
              <w:t>bos_policy_decisions</w:t>
            </w:r>
          </w:p>
        </w:tc>
        <w:tc>
          <w:tcPr>
            <w:tcW w:type="dxa" w:w="2016"/>
          </w:tcPr>
          <w:p>
            <w:r>
              <w:t>Explainable access decisions</w:t>
            </w:r>
          </w:p>
        </w:tc>
        <w:tc>
          <w:tcPr>
            <w:tcW w:type="dxa" w:w="2016"/>
          </w:tcPr>
          <w:p>
            <w:r>
              <w:t>runtime, permissions</w:t>
            </w:r>
          </w:p>
        </w:tc>
        <w:tc>
          <w:tcPr>
            <w:tcW w:type="dxa" w:w="2016"/>
          </w:tcPr>
          <w:p>
            <w:r>
              <w:t>shadow policy engine</w:t>
            </w:r>
          </w:p>
        </w:tc>
        <w:tc>
          <w:tcPr>
            <w:tcW w:type="dxa" w:w="2016"/>
          </w:tcPr>
          <w:p>
            <w:r>
              <w:t>Audit only</w:t>
            </w:r>
          </w:p>
        </w:tc>
      </w:tr>
    </w:tbl>
    <w:p>
      <w:pPr>
        <w:pStyle w:val="Heading1"/>
      </w:pPr>
      <w:r>
        <w:t>5. Authorization Migration Strategy</w:t>
      </w:r>
    </w:p>
    <w:p>
      <w:r>
        <w:t>The present portal's permission system must remain authoritative until the constitutional policy engine proves parity. The new policy engine should begin as an observer.</w:t>
      </w:r>
    </w:p>
    <w:p>
      <w:pPr>
        <w:pStyle w:val="ListNumber"/>
      </w:pPr>
      <w:r>
        <w:t>Stage 1 — Observe: calculate constitutional decisions and log them without changing behaviour.</w:t>
      </w:r>
    </w:p>
    <w:p>
      <w:pPr>
        <w:pStyle w:val="ListNumber"/>
      </w:pPr>
      <w:r>
        <w:t>Stage 2 — Compare: report where constitutional and legacy permission decisions differ.</w:t>
      </w:r>
    </w:p>
    <w:p>
      <w:pPr>
        <w:pStyle w:val="ListNumber"/>
      </w:pPr>
      <w:r>
        <w:t>Stage 3 — Explain: expose internal diagnostics for administrators and engineers.</w:t>
      </w:r>
    </w:p>
    <w:p>
      <w:pPr>
        <w:pStyle w:val="ListNumber"/>
      </w:pPr>
      <w:r>
        <w:t>Stage 4 — Assist: use constitutional decisions for navigation and non-sensitive UI visibility.</w:t>
      </w:r>
    </w:p>
    <w:p>
      <w:pPr>
        <w:pStyle w:val="ListNumber"/>
      </w:pPr>
      <w:r>
        <w:t>Stage 5 — Co-authorize: require both legacy and constitutional approval for selected low-risk actions.</w:t>
      </w:r>
    </w:p>
    <w:p>
      <w:pPr>
        <w:pStyle w:val="ListNumber"/>
      </w:pPr>
      <w:r>
        <w:t>Stage 6 — Authorize: make constitutional policy authoritative for a fully migrated vertical journey.</w:t>
      </w:r>
    </w:p>
    <w:p>
      <w:pPr>
        <w:pStyle w:val="ListNumber"/>
      </w:pPr>
      <w:r>
        <w:t>Stage 7 — Retire: remove legacy checks only after production parity, audit and rollback readiness.</w:t>
      </w:r>
    </w:p>
    <w:p>
      <w:pPr>
        <w:pStyle w:val="Heading1"/>
      </w:pPr>
      <w:r>
        <w:t>6. Policy Decision Inputs</w:t>
      </w:r>
    </w:p>
    <w:p>
      <w:pPr>
        <w:pStyle w:val="ListBullet"/>
      </w:pPr>
      <w:r>
        <w:t>Authenticated account</w:t>
      </w:r>
    </w:p>
    <w:p>
      <w:pPr>
        <w:pStyle w:val="ListBullet"/>
      </w:pPr>
      <w:r>
        <w:t>Internal access role</w:t>
      </w:r>
    </w:p>
    <w:p>
      <w:pPr>
        <w:pStyle w:val="ListBullet"/>
      </w:pPr>
      <w:r>
        <w:t>Confirmed human identity</w:t>
      </w:r>
    </w:p>
    <w:p>
      <w:pPr>
        <w:pStyle w:val="ListBullet"/>
      </w:pPr>
      <w:r>
        <w:t>Organisation representation</w:t>
      </w:r>
    </w:p>
    <w:p>
      <w:pPr>
        <w:pStyle w:val="ListBullet"/>
      </w:pPr>
      <w:r>
        <w:t>Workspace membership</w:t>
      </w:r>
    </w:p>
    <w:p>
      <w:pPr>
        <w:pStyle w:val="ListBullet"/>
      </w:pPr>
      <w:r>
        <w:t>Capability entitlement</w:t>
      </w:r>
    </w:p>
    <w:p>
      <w:pPr>
        <w:pStyle w:val="ListBullet"/>
      </w:pPr>
      <w:r>
        <w:t>Growth Plan level</w:t>
      </w:r>
    </w:p>
    <w:p>
      <w:pPr>
        <w:pStyle w:val="ListBullet"/>
      </w:pPr>
      <w:r>
        <w:t>Team permission</w:t>
      </w:r>
    </w:p>
    <w:p>
      <w:pPr>
        <w:pStyle w:val="ListBullet"/>
      </w:pPr>
      <w:r>
        <w:t>Record ownership</w:t>
      </w:r>
    </w:p>
    <w:p>
      <w:pPr>
        <w:pStyle w:val="ListBullet"/>
      </w:pPr>
      <w:r>
        <w:t>Verification prerequisites</w:t>
      </w:r>
    </w:p>
    <w:p>
      <w:pPr>
        <w:pStyle w:val="ListBullet"/>
      </w:pPr>
      <w:r>
        <w:t>Jurisdiction and geography</w:t>
      </w:r>
    </w:p>
    <w:p>
      <w:pPr>
        <w:pStyle w:val="ListBullet"/>
      </w:pPr>
      <w:r>
        <w:t>Feature availability</w:t>
      </w:r>
    </w:p>
    <w:p>
      <w:pPr>
        <w:pStyle w:val="ListBullet"/>
      </w:pPr>
      <w:r>
        <w:t>Administrative authority</w:t>
      </w:r>
    </w:p>
    <w:p>
      <w:pPr>
        <w:pStyle w:val="ListBullet"/>
      </w:pPr>
      <w:r>
        <w:t>Temporary delegation</w:t>
      </w:r>
    </w:p>
    <w:p>
      <w:pPr>
        <w:pStyle w:val="ListBullet"/>
      </w:pPr>
      <w:r>
        <w:t>Risk or compliance restriction</w:t>
      </w:r>
    </w:p>
    <w:p>
      <w:pPr>
        <w:pStyle w:val="Heading1"/>
      </w:pPr>
      <w:r>
        <w:t>7. Human and Organisation Separation</w:t>
      </w:r>
    </w:p>
    <w:p>
      <w:r>
        <w:t>This is the most important semantic correction required in the current identity taxonomy. A municipality, financial institution, housing society or public-sector undertaking cannot be treated as a human identity.</w:t>
      </w:r>
    </w:p>
    <w:p>
      <w:r>
        <w:t>The recommended model is:</w:t>
      </w:r>
    </w:p>
    <w:p>
      <w:pPr>
        <w:jc w:val="center"/>
      </w:pPr>
      <w:r>
        <w:rPr>
          <w:b/>
        </w:rPr>
        <w:t>Human</w:t>
        <w:br/>
        <w:t>↓ represents / works for / owns / governs</w:t>
        <w:br/>
        <w:t>Organisation</w:t>
        <w:br/>
        <w:t>↓ operates through</w:t>
        <w:br/>
        <w:t>Workspace</w:t>
        <w:br/>
        <w:t>↓ exposes</w:t>
        <w:br/>
        <w:t>Capabilities</w:t>
      </w:r>
    </w:p>
    <w:p>
      <w:r>
        <w:t>Public language may still describe a person as a Banker or Government Officer. The organisation remains a separate entity, and the relationship between the person and organisation is explicit, time-bound and auditable.</w:t>
      </w:r>
    </w:p>
    <w:p>
      <w:pPr>
        <w:pStyle w:val="Heading1"/>
      </w:pPr>
      <w:r>
        <w:t>8. Vertical Migration Order</w:t>
      </w:r>
    </w:p>
    <w:p>
      <w:pPr>
        <w:pStyle w:val="Heading2"/>
      </w:pPr>
      <w:r>
        <w:t>1. Material Business</w:t>
      </w:r>
    </w:p>
    <w:p>
      <w:r>
        <w:t>Strongest current production support across profile, marketplace, inventory, billing, RFQ and dispatch.</w:t>
      </w:r>
    </w:p>
    <w:p>
      <w:pPr>
        <w:pStyle w:val="Heading2"/>
      </w:pPr>
      <w:r>
        <w:t>2. Rental Business</w:t>
      </w:r>
    </w:p>
    <w:p>
      <w:r>
        <w:t>Clear identity, listings, equipment, fleet and customer requirements.</w:t>
      </w:r>
    </w:p>
    <w:p>
      <w:pPr>
        <w:pStyle w:val="Heading2"/>
      </w:pPr>
      <w:r>
        <w:t>3. Contractor / Professional</w:t>
      </w:r>
    </w:p>
    <w:p>
      <w:r>
        <w:t>Suitable for validating multi-identity and service-based capabilities.</w:t>
      </w:r>
    </w:p>
    <w:p>
      <w:pPr>
        <w:pStyle w:val="Heading2"/>
      </w:pPr>
      <w:r>
        <w:t>4. Property Owner</w:t>
      </w:r>
    </w:p>
    <w:p>
      <w:r>
        <w:t>Good test of identity, listing ownership, trust and geography.</w:t>
      </w:r>
    </w:p>
    <w:p>
      <w:pPr>
        <w:pStyle w:val="Heading2"/>
      </w:pPr>
      <w:r>
        <w:t>5. Builder / Construction Business</w:t>
      </w:r>
    </w:p>
    <w:p>
      <w:r>
        <w:t>More complex project, investment and enterprise relationships.</w:t>
      </w:r>
    </w:p>
    <w:p>
      <w:pPr>
        <w:pStyle w:val="Heading2"/>
      </w:pPr>
      <w:r>
        <w:t>6. Customer / RFQ Journey</w:t>
      </w:r>
    </w:p>
    <w:p>
      <w:r>
        <w:t>Completes the human-first demand side and connects marketplace matching.</w:t>
      </w:r>
    </w:p>
    <w:p>
      <w:pPr>
        <w:pStyle w:val="Heading1"/>
      </w:pPr>
      <w:r>
        <w:t>9. Definition of Done for a Migrated Journey</w:t>
      </w:r>
    </w:p>
    <w:p>
      <w:pPr>
        <w:pStyle w:val="ListBullet"/>
      </w:pPr>
      <w:r>
        <w:t>A human can review and confirm the identity used by the journey.</w:t>
      </w:r>
    </w:p>
    <w:p>
      <w:pPr>
        <w:pStyle w:val="ListBullet"/>
      </w:pPr>
      <w:r>
        <w:t>The workspace is a persisted instance, not only a static definition.</w:t>
      </w:r>
    </w:p>
    <w:p>
      <w:pPr>
        <w:pStyle w:val="ListBullet"/>
      </w:pPr>
      <w:r>
        <w:t>Membership and stewardship are explicit.</w:t>
      </w:r>
    </w:p>
    <w:p>
      <w:pPr>
        <w:pStyle w:val="ListBullet"/>
      </w:pPr>
      <w:r>
        <w:t>Growth Plan comes from the authoritative commercial source.</w:t>
      </w:r>
    </w:p>
    <w:p>
      <w:pPr>
        <w:pStyle w:val="ListBullet"/>
      </w:pPr>
      <w:r>
        <w:t>Capabilities resolve from policy-aware context.</w:t>
      </w:r>
    </w:p>
    <w:p>
      <w:pPr>
        <w:pStyle w:val="ListBullet"/>
      </w:pPr>
      <w:r>
        <w:t>Navigation is generated from available actions.</w:t>
      </w:r>
    </w:p>
    <w:p>
      <w:pPr>
        <w:pStyle w:val="ListBullet"/>
      </w:pPr>
      <w:r>
        <w:t>Sensitive server actions enforce constitutional policy.</w:t>
      </w:r>
    </w:p>
    <w:p>
      <w:pPr>
        <w:pStyle w:val="ListBullet"/>
      </w:pPr>
      <w:r>
        <w:t>Legacy routes remain valid or redirect safely.</w:t>
      </w:r>
    </w:p>
    <w:p>
      <w:pPr>
        <w:pStyle w:val="ListBullet"/>
      </w:pPr>
      <w:r>
        <w:t>Important state changes produce constitutional events.</w:t>
      </w:r>
    </w:p>
    <w:p>
      <w:pPr>
        <w:pStyle w:val="ListBullet"/>
      </w:pPr>
      <w:r>
        <w:t>Dashboards and AI consume projections rather than raw module tables.</w:t>
      </w:r>
    </w:p>
    <w:p>
      <w:pPr>
        <w:pStyle w:val="ListBullet"/>
      </w:pPr>
      <w:r>
        <w:t>Mobile and desktop journeys preserve dignity and simplicity.</w:t>
      </w:r>
    </w:p>
    <w:p>
      <w:pPr>
        <w:pStyle w:val="ListBullet"/>
      </w:pPr>
      <w:r>
        <w:t>Rollback to the legacy path is documented and tested.</w:t>
      </w:r>
    </w:p>
    <w:p>
      <w:pPr>
        <w:pStyle w:val="Heading1"/>
      </w:pPr>
      <w:r>
        <w:t>10. Testing Strategy</w:t>
      </w:r>
    </w:p>
    <w:p>
      <w:pPr>
        <w:pStyle w:val="Heading2"/>
      </w:pPr>
      <w:r>
        <w:t>Structural tests</w:t>
      </w:r>
    </w:p>
    <w:p>
      <w:r>
        <w:t>Required files, exports, dependency boundaries and forbidden behaviours.</w:t>
      </w:r>
    </w:p>
    <w:p>
      <w:pPr>
        <w:pStyle w:val="Heading2"/>
      </w:pPr>
      <w:r>
        <w:t>Resolver tests</w:t>
      </w:r>
    </w:p>
    <w:p>
      <w:r>
        <w:t>Identity, workspace, plan and capability combinations.</w:t>
      </w:r>
    </w:p>
    <w:p>
      <w:pPr>
        <w:pStyle w:val="Heading2"/>
      </w:pPr>
      <w:r>
        <w:t>Migration tests</w:t>
      </w:r>
    </w:p>
    <w:p>
      <w:r>
        <w:t>Backfill accuracy, idempotency and rollback.</w:t>
      </w:r>
    </w:p>
    <w:p>
      <w:pPr>
        <w:pStyle w:val="Heading2"/>
      </w:pPr>
      <w:r>
        <w:t>RLS tests</w:t>
      </w:r>
    </w:p>
    <w:p>
      <w:r>
        <w:t>Cross-user isolation, administrative boundaries and protected writes.</w:t>
      </w:r>
    </w:p>
    <w:p>
      <w:pPr>
        <w:pStyle w:val="Heading2"/>
      </w:pPr>
      <w:r>
        <w:t>Policy parity tests</w:t>
      </w:r>
    </w:p>
    <w:p>
      <w:r>
        <w:t>Legacy vs constitutional authorization decisions.</w:t>
      </w:r>
    </w:p>
    <w:p>
      <w:pPr>
        <w:pStyle w:val="Heading2"/>
      </w:pPr>
      <w:r>
        <w:t>Journey tests</w:t>
      </w:r>
    </w:p>
    <w:p>
      <w:r>
        <w:t>Complete identity-to-action workflows.</w:t>
      </w:r>
    </w:p>
    <w:p>
      <w:pPr>
        <w:pStyle w:val="Heading2"/>
      </w:pPr>
      <w:r>
        <w:t>Failure tests</w:t>
      </w:r>
    </w:p>
    <w:p>
      <w:r>
        <w:t>Optional AI, projections or runtime failures must not block core business work.</w:t>
      </w:r>
    </w:p>
    <w:p>
      <w:pPr>
        <w:pStyle w:val="Heading2"/>
      </w:pPr>
      <w:r>
        <w:t>Language tests</w:t>
      </w:r>
    </w:p>
    <w:p>
      <w:r>
        <w:t>Visible labels remain contextual and avoid diminishing terminology.</w:t>
      </w:r>
    </w:p>
    <w:p>
      <w:pPr>
        <w:pStyle w:val="Heading2"/>
      </w:pPr>
      <w:r>
        <w:t>Mobile tests</w:t>
      </w:r>
    </w:p>
    <w:p>
      <w:r>
        <w:t>The same constitutional task remains understandable on small screens.</w:t>
      </w:r>
    </w:p>
    <w:p>
      <w:pPr>
        <w:pStyle w:val="Heading2"/>
      </w:pPr>
      <w:r>
        <w:t>Audit tests</w:t>
      </w:r>
    </w:p>
    <w:p>
      <w:r>
        <w:t>Every sensitive decision can be explained from facts and policy.</w:t>
      </w:r>
    </w:p>
    <w:p>
      <w:pPr>
        <w:pStyle w:val="Heading1"/>
      </w:pPr>
      <w:r>
        <w:t>11. Observability and Drift Detection</w:t>
      </w:r>
    </w:p>
    <w:p>
      <w:r>
        <w:t>During migration, the system should measure architectural drift rather than relying on manual inspection alone.</w:t>
      </w:r>
    </w:p>
    <w:p>
      <w:pPr>
        <w:pStyle w:val="ListBullet"/>
      </w:pPr>
      <w:r>
        <w:t>Percentage of authenticated users with a persistent human entity</w:t>
      </w:r>
    </w:p>
    <w:p>
      <w:pPr>
        <w:pStyle w:val="ListBullet"/>
      </w:pPr>
      <w:r>
        <w:t>Percentage with at least one confirmed identity assignment</w:t>
      </w:r>
    </w:p>
    <w:p>
      <w:pPr>
        <w:pStyle w:val="ListBullet"/>
      </w:pPr>
      <w:r>
        <w:t>Percentage of active business users with a workspace instance</w:t>
      </w:r>
    </w:p>
    <w:p>
      <w:pPr>
        <w:pStyle w:val="ListBullet"/>
      </w:pPr>
      <w:r>
        <w:t>Percentage of runtime decisions using authoritative Growth Plan data</w:t>
      </w:r>
    </w:p>
    <w:p>
      <w:pPr>
        <w:pStyle w:val="ListBullet"/>
      </w:pPr>
      <w:r>
        <w:t>Legacy vs constitutional policy mismatch rate</w:t>
      </w:r>
    </w:p>
    <w:p>
      <w:pPr>
        <w:pStyle w:val="ListBullet"/>
      </w:pPr>
      <w:r>
        <w:t>Number of unresolved identity ambiguities</w:t>
      </w:r>
    </w:p>
    <w:p>
      <w:pPr>
        <w:pStyle w:val="ListBullet"/>
      </w:pPr>
      <w:r>
        <w:t>Number of public screens still using vendor/seller/service-provider terminology</w:t>
      </w:r>
    </w:p>
    <w:p>
      <w:pPr>
        <w:pStyle w:val="ListBullet"/>
      </w:pPr>
      <w:r>
        <w:t>Projection rebuild success rate</w:t>
      </w:r>
    </w:p>
    <w:p>
      <w:pPr>
        <w:pStyle w:val="ListBullet"/>
      </w:pPr>
      <w:r>
        <w:t>Runtime bootstrap failure rate</w:t>
      </w:r>
    </w:p>
    <w:p>
      <w:pPr>
        <w:pStyle w:val="ListBullet"/>
      </w:pPr>
      <w:r>
        <w:t>Core workflow failures caused by optional AI or 3BOS dependencies</w:t>
      </w:r>
    </w:p>
    <w:p>
      <w:pPr>
        <w:pStyle w:val="Heading1"/>
      </w:pPr>
      <w:r>
        <w:t>12. Rollback Architecture</w:t>
      </w:r>
    </w:p>
    <w:p>
      <w:pPr>
        <w:pStyle w:val="ListBullet"/>
      </w:pPr>
      <w:r>
        <w:t>Keep legacy fields populated during the entire compatibility period.</w:t>
      </w:r>
    </w:p>
    <w:p>
      <w:pPr>
        <w:pStyle w:val="ListBullet"/>
      </w:pPr>
      <w:r>
        <w:t>Use feature flags per vertical journey, not one global migration flag.</w:t>
      </w:r>
    </w:p>
    <w:p>
      <w:pPr>
        <w:pStyle w:val="ListBullet"/>
      </w:pPr>
      <w:r>
        <w:t>Make authoritative runtime selection reversible at request level.</w:t>
      </w:r>
    </w:p>
    <w:p>
      <w:pPr>
        <w:pStyle w:val="ListBullet"/>
      </w:pPr>
      <w:r>
        <w:t>Do not drop columns or tables in the same release that introduces replacements.</w:t>
      </w:r>
    </w:p>
    <w:p>
      <w:pPr>
        <w:pStyle w:val="ListBullet"/>
      </w:pPr>
      <w:r>
        <w:t>Record migration batch IDs for every backfilled row.</w:t>
      </w:r>
    </w:p>
    <w:p>
      <w:pPr>
        <w:pStyle w:val="ListBullet"/>
      </w:pPr>
      <w:r>
        <w:t>Keep old dashboard links available until new navigation proves stable.</w:t>
      </w:r>
    </w:p>
    <w:p>
      <w:pPr>
        <w:pStyle w:val="ListBullet"/>
      </w:pPr>
      <w:r>
        <w:t>Preserve a direct administrator override path for emergency recovery.</w:t>
      </w:r>
    </w:p>
    <w:p>
      <w:pPr>
        <w:pStyle w:val="Heading1"/>
      </w:pPr>
      <w:r>
        <w:t>13. Engineering Anti-Patterns</w:t>
      </w:r>
    </w:p>
    <w:p>
      <w:pPr>
        <w:pStyle w:val="Heading2"/>
      </w:pPr>
      <w:r>
        <w:t>Replacing profiles immediately</w:t>
      </w:r>
    </w:p>
    <w:p>
      <w:r>
        <w:t>Authentication and existing access flows still depend on them.</w:t>
      </w:r>
    </w:p>
    <w:p>
      <w:pPr>
        <w:pStyle w:val="Heading2"/>
      </w:pPr>
      <w:r>
        <w:t>Treating every registry entry as a live feature</w:t>
      </w:r>
    </w:p>
    <w:p>
      <w:r>
        <w:t>Foundation and future identities must not be presented as production-ready.</w:t>
      </w:r>
    </w:p>
    <w:p>
      <w:pPr>
        <w:pStyle w:val="Heading2"/>
      </w:pPr>
      <w:r>
        <w:t>Granting access from identity alone</w:t>
      </w:r>
    </w:p>
    <w:p>
      <w:r>
        <w:t>Identity is not permission.</w:t>
      </w:r>
    </w:p>
    <w:p>
      <w:pPr>
        <w:pStyle w:val="Heading2"/>
      </w:pPr>
      <w:r>
        <w:t>Granting trust from payment</w:t>
      </w:r>
    </w:p>
    <w:p>
      <w:r>
        <w:t>Growth Plan and trust must remain separate.</w:t>
      </w:r>
    </w:p>
    <w:p>
      <w:pPr>
        <w:pStyle w:val="Heading2"/>
      </w:pPr>
      <w:r>
        <w:t>Putting policy logic in React components</w:t>
      </w:r>
    </w:p>
    <w:p>
      <w:r>
        <w:t>Sensitive decisions belong in server-side services and database policy.</w:t>
      </w:r>
    </w:p>
    <w:p>
      <w:pPr>
        <w:pStyle w:val="Heading2"/>
      </w:pPr>
      <w:r>
        <w:t>Duplicating human identity in modules</w:t>
      </w:r>
    </w:p>
    <w:p>
      <w:r>
        <w:t>Modules must reference the constitutional human record.</w:t>
      </w:r>
    </w:p>
    <w:p>
      <w:pPr>
        <w:pStyle w:val="Heading2"/>
      </w:pPr>
      <w:r>
        <w:t>Using dashboard labels as architecture</w:t>
      </w:r>
    </w:p>
    <w:p>
      <w:r>
        <w:t>Visible labels are presentation; capabilities and workspaces are architecture.</w:t>
      </w:r>
    </w:p>
    <w:p>
      <w:pPr>
        <w:pStyle w:val="Heading2"/>
      </w:pPr>
      <w:r>
        <w:t>Making AI mandatory</w:t>
      </w:r>
    </w:p>
    <w:p>
      <w:r>
        <w:t>Optional intelligence must never block core business work.</w:t>
      </w:r>
    </w:p>
    <w:p>
      <w:pPr>
        <w:pStyle w:val="Heading2"/>
      </w:pPr>
      <w:r>
        <w:t>Migrating all modules horizontally</w:t>
      </w:r>
    </w:p>
    <w:p>
      <w:r>
        <w:t>This produces partial journeys and user confusion.</w:t>
      </w:r>
    </w:p>
    <w:p>
      <w:pPr>
        <w:pStyle w:val="Heading2"/>
      </w:pPr>
      <w:r>
        <w:t>Deleting legacy values before reconciliation</w:t>
      </w:r>
    </w:p>
    <w:p>
      <w:r>
        <w:t>Compatibility evidence is needed until migration is complete.</w:t>
      </w:r>
    </w:p>
    <w:p>
      <w:pPr>
        <w:pStyle w:val="Heading1"/>
      </w:pPr>
      <w:r>
        <w:t>14. Recommended Implementation Milestones</w:t>
      </w:r>
    </w:p>
    <w:p>
      <w:pPr>
        <w:pStyle w:val="ListNumber"/>
      </w:pPr>
      <w:r>
        <w:t>M1 — Canonical human and organisation schema approved</w:t>
      </w:r>
    </w:p>
    <w:p>
      <w:pPr>
        <w:pStyle w:val="ListNumber"/>
      </w:pPr>
      <w:r>
        <w:t>M2 — Read-only backfill report generated</w:t>
      </w:r>
    </w:p>
    <w:p>
      <w:pPr>
        <w:pStyle w:val="ListNumber"/>
      </w:pPr>
      <w:r>
        <w:t>M3 — Identity confirmation UX launched for one vertical</w:t>
      </w:r>
    </w:p>
    <w:p>
      <w:pPr>
        <w:pStyle w:val="ListNumber"/>
      </w:pPr>
      <w:r>
        <w:t>M4 — Persistent workspace instances created</w:t>
      </w:r>
    </w:p>
    <w:p>
      <w:pPr>
        <w:pStyle w:val="ListNumber"/>
      </w:pPr>
      <w:r>
        <w:t>M5 — Authoritative Growth Plan adapter connected</w:t>
      </w:r>
    </w:p>
    <w:p>
      <w:pPr>
        <w:pStyle w:val="ListNumber"/>
      </w:pPr>
      <w:r>
        <w:t>M6 — Shadow policy evaluator operational</w:t>
      </w:r>
    </w:p>
    <w:p>
      <w:pPr>
        <w:pStyle w:val="ListNumber"/>
      </w:pPr>
      <w:r>
        <w:t>M7 — Available-action navigation enabled for one workspace</w:t>
      </w:r>
    </w:p>
    <w:p>
      <w:pPr>
        <w:pStyle w:val="ListNumber"/>
      </w:pPr>
      <w:r>
        <w:t>M8 — Constitutional events recorded for new identity/workspace changes</w:t>
      </w:r>
    </w:p>
    <w:p>
      <w:pPr>
        <w:pStyle w:val="ListNumber"/>
      </w:pPr>
      <w:r>
        <w:t>M9 — First vertical journey made policy-authoritative</w:t>
      </w:r>
    </w:p>
    <w:p>
      <w:pPr>
        <w:pStyle w:val="ListNumber"/>
      </w:pPr>
      <w:r>
        <w:t>M10 — Legacy public terminology removed from migrated journey</w:t>
      </w:r>
    </w:p>
    <w:p>
      <w:pPr>
        <w:pStyle w:val="ListNumber"/>
      </w:pPr>
      <w:r>
        <w:t>M11 — Projection and AI context layer enabled</w:t>
      </w:r>
    </w:p>
    <w:p>
      <w:pPr>
        <w:pStyle w:val="ListNumber"/>
      </w:pPr>
      <w:r>
        <w:t>M12 — Migration pattern standardized for remaining verticals</w:t>
      </w:r>
    </w:p>
    <w:p>
      <w:pPr>
        <w:pStyle w:val="Heading1"/>
      </w:pPr>
      <w:r>
        <w:t>15. Technical Appendix A — Minimal Identity Assignment Contract</w:t>
      </w:r>
    </w:p>
    <w:p>
      <w:r>
        <w:t>A minimal identity assignment should carry the following fields:</w:t>
      </w:r>
    </w:p>
    <w:p>
      <w:pPr>
        <w:pStyle w:val="ListBullet"/>
      </w:pPr>
      <w:r>
        <w:t>id</w:t>
      </w:r>
    </w:p>
    <w:p>
      <w:pPr>
        <w:pStyle w:val="ListBullet"/>
      </w:pPr>
      <w:r>
        <w:t>human_id</w:t>
      </w:r>
    </w:p>
    <w:p>
      <w:pPr>
        <w:pStyle w:val="ListBullet"/>
      </w:pPr>
      <w:r>
        <w:t>identity_key</w:t>
      </w:r>
    </w:p>
    <w:p>
      <w:pPr>
        <w:pStyle w:val="ListBullet"/>
      </w:pPr>
      <w:r>
        <w:t>status</w:t>
      </w:r>
    </w:p>
    <w:p>
      <w:pPr>
        <w:pStyle w:val="ListBullet"/>
      </w:pPr>
      <w:r>
        <w:t>is_primary</w:t>
      </w:r>
    </w:p>
    <w:p>
      <w:pPr>
        <w:pStyle w:val="ListBullet"/>
      </w:pPr>
      <w:r>
        <w:t>source</w:t>
      </w:r>
    </w:p>
    <w:p>
      <w:pPr>
        <w:pStyle w:val="ListBullet"/>
      </w:pPr>
      <w:r>
        <w:t>confidence</w:t>
      </w:r>
    </w:p>
    <w:p>
      <w:pPr>
        <w:pStyle w:val="ListBullet"/>
      </w:pPr>
      <w:r>
        <w:t>confirmed_by_human_at</w:t>
      </w:r>
    </w:p>
    <w:p>
      <w:pPr>
        <w:pStyle w:val="ListBullet"/>
      </w:pPr>
      <w:r>
        <w:t>verified_at</w:t>
      </w:r>
    </w:p>
    <w:p>
      <w:pPr>
        <w:pStyle w:val="ListBullet"/>
      </w:pPr>
      <w:r>
        <w:t>verified_by</w:t>
      </w:r>
    </w:p>
    <w:p>
      <w:pPr>
        <w:pStyle w:val="ListBullet"/>
      </w:pPr>
      <w:r>
        <w:t>effective_from</w:t>
      </w:r>
    </w:p>
    <w:p>
      <w:pPr>
        <w:pStyle w:val="ListBullet"/>
      </w:pPr>
      <w:r>
        <w:t>effective_until</w:t>
      </w:r>
    </w:p>
    <w:p>
      <w:pPr>
        <w:pStyle w:val="ListBullet"/>
      </w:pPr>
      <w:r>
        <w:t>created_at</w:t>
      </w:r>
    </w:p>
    <w:p>
      <w:pPr>
        <w:pStyle w:val="ListBullet"/>
      </w:pPr>
      <w:r>
        <w:t>updated_at</w:t>
      </w:r>
    </w:p>
    <w:p>
      <w:pPr>
        <w:pStyle w:val="Heading1"/>
      </w:pPr>
      <w:r>
        <w:t>16. Technical Appendix B — Minimal Workspace Membership Contract</w:t>
      </w:r>
    </w:p>
    <w:p>
      <w:pPr>
        <w:pStyle w:val="ListBullet"/>
      </w:pPr>
      <w:r>
        <w:t>id</w:t>
      </w:r>
    </w:p>
    <w:p>
      <w:pPr>
        <w:pStyle w:val="ListBullet"/>
      </w:pPr>
      <w:r>
        <w:t>workspace_id</w:t>
      </w:r>
    </w:p>
    <w:p>
      <w:pPr>
        <w:pStyle w:val="ListBullet"/>
      </w:pPr>
      <w:r>
        <w:t>human_id</w:t>
      </w:r>
    </w:p>
    <w:p>
      <w:pPr>
        <w:pStyle w:val="ListBullet"/>
      </w:pPr>
      <w:r>
        <w:t>membership_status</w:t>
      </w:r>
    </w:p>
    <w:p>
      <w:pPr>
        <w:pStyle w:val="ListBullet"/>
      </w:pPr>
      <w:r>
        <w:t>stewardship_level</w:t>
      </w:r>
    </w:p>
    <w:p>
      <w:pPr>
        <w:pStyle w:val="ListBullet"/>
      </w:pPr>
      <w:r>
        <w:t>delegated_by_membership_id</w:t>
      </w:r>
    </w:p>
    <w:p>
      <w:pPr>
        <w:pStyle w:val="ListBullet"/>
      </w:pPr>
      <w:r>
        <w:t>joined_at</w:t>
      </w:r>
    </w:p>
    <w:p>
      <w:pPr>
        <w:pStyle w:val="ListBullet"/>
      </w:pPr>
      <w:r>
        <w:t>valid_until</w:t>
      </w:r>
    </w:p>
    <w:p>
      <w:pPr>
        <w:pStyle w:val="ListBullet"/>
      </w:pPr>
      <w:r>
        <w:t>created_at</w:t>
      </w:r>
    </w:p>
    <w:p>
      <w:pPr>
        <w:pStyle w:val="ListBullet"/>
      </w:pPr>
      <w:r>
        <w:t>updated_at</w:t>
      </w:r>
    </w:p>
    <w:p>
      <w:pPr>
        <w:pStyle w:val="Heading1"/>
      </w:pPr>
      <w:r>
        <w:t>17. Technical Appendix C — Minimal Policy Decision Contract</w:t>
      </w:r>
    </w:p>
    <w:p>
      <w:pPr>
        <w:pStyle w:val="ListBullet"/>
      </w:pPr>
      <w:r>
        <w:t>decision_id</w:t>
      </w:r>
    </w:p>
    <w:p>
      <w:pPr>
        <w:pStyle w:val="ListBullet"/>
      </w:pPr>
      <w:r>
        <w:t>subject_human_id</w:t>
      </w:r>
    </w:p>
    <w:p>
      <w:pPr>
        <w:pStyle w:val="ListBullet"/>
      </w:pPr>
      <w:r>
        <w:t>workspace_id</w:t>
      </w:r>
    </w:p>
    <w:p>
      <w:pPr>
        <w:pStyle w:val="ListBullet"/>
      </w:pPr>
      <w:r>
        <w:t>capability_key</w:t>
      </w:r>
    </w:p>
    <w:p>
      <w:pPr>
        <w:pStyle w:val="ListBullet"/>
      </w:pPr>
      <w:r>
        <w:t>requested_action</w:t>
      </w:r>
    </w:p>
    <w:p>
      <w:pPr>
        <w:pStyle w:val="ListBullet"/>
      </w:pPr>
      <w:r>
        <w:t>resource_type</w:t>
      </w:r>
    </w:p>
    <w:p>
      <w:pPr>
        <w:pStyle w:val="ListBullet"/>
      </w:pPr>
      <w:r>
        <w:t>resource_id</w:t>
      </w:r>
    </w:p>
    <w:p>
      <w:pPr>
        <w:pStyle w:val="ListBullet"/>
      </w:pPr>
      <w:r>
        <w:t>decision</w:t>
      </w:r>
    </w:p>
    <w:p>
      <w:pPr>
        <w:pStyle w:val="ListBullet"/>
      </w:pPr>
      <w:r>
        <w:t>reason_code</w:t>
      </w:r>
    </w:p>
    <w:p>
      <w:pPr>
        <w:pStyle w:val="ListBullet"/>
      </w:pPr>
      <w:r>
        <w:t>policy_version</w:t>
      </w:r>
    </w:p>
    <w:p>
      <w:pPr>
        <w:pStyle w:val="ListBullet"/>
      </w:pPr>
      <w:r>
        <w:t>input_snapshot</w:t>
      </w:r>
    </w:p>
    <w:p>
      <w:pPr>
        <w:pStyle w:val="ListBullet"/>
      </w:pPr>
      <w:r>
        <w:t>decided_at</w:t>
      </w:r>
    </w:p>
    <w:p>
      <w:pPr>
        <w:pStyle w:val="Heading1"/>
      </w:pPr>
      <w:r>
        <w:t>18. Part IV Closing Declaration</w:t>
      </w:r>
    </w:p>
    <w:p>
      <w:r>
        <w:t>Part IV has established the persistence architecture required to turn the constitutional philosophy of 3BOS into durable system behaviour. The live portal already contains the correct additive foundations. The next responsibility is to make those foundations persistent, authoritative and explainable, one safely migrated human journey at a time.</w:t>
      </w:r>
    </w:p>
    <w:p>
      <w:r>
        <w:t>The final engineering rule of this part is:</w:t>
      </w:r>
    </w:p>
    <w:p>
      <w:pPr>
        <w:jc w:val="center"/>
      </w:pPr>
      <w:r>
        <w:rPr>
          <w:b/>
        </w:rPr>
        <w:t>Preserve the human.</w:t>
        <w:br/>
        <w:t>Preserve production.</w:t>
        <w:br/>
        <w:t>Persist constitutional truth.</w:t>
        <w:br/>
        <w:t>Migrate through evidence.</w:t>
        <w:br/>
        <w:t>Let AI assist, but let humans remain responsible.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