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IV.4 — Capability Registry Architecture</w:t>
      </w:r>
    </w:p>
    <w:p>
      <w:pPr>
        <w:pStyle w:val="Heading1"/>
      </w:pPr>
      <w:r>
        <w:t>1. Why Capabilities Matter</w:t>
      </w:r>
    </w:p>
    <w:p>
      <w:r>
        <w:t>Traditional systems assign static roles such as administrator, manager or operator. Those roles often become permanent even though the work people perform changes continually.</w:t>
      </w:r>
    </w:p>
    <w:p>
      <w:r>
        <w:t>3BOS treats capabilities as contextual abilities that can be granted, combined, delegated, suspended and retired without changing the constitutional identity of the person.</w:t>
      </w:r>
    </w:p>
    <w:p>
      <w:r>
        <w:t>Separating identity from capability allows organisations to evolve while preserving continuity.</w:t>
      </w:r>
    </w:p>
    <w:p>
      <w:pPr>
        <w:pStyle w:val="Heading1"/>
      </w:pPr>
      <w:r>
        <w:t>2. Constitutional Definition of a Capability</w:t>
      </w:r>
    </w:p>
    <w:p>
      <w:r>
        <w:t>A capability is an authorised ability to perform a defined class of actions within a governed context.</w:t>
      </w:r>
    </w:p>
    <w:p>
      <w:r>
        <w:t>It is neither a job title nor an organisational rank. Multiple capabilities may exist simultaneously for a single identity across different workspaces.</w:t>
      </w:r>
    </w:p>
    <w:p>
      <w:r>
        <w:t>Capabilities are resolved dynamically from identity, workspace, policy and current context.</w:t>
      </w:r>
    </w:p>
    <w:p>
      <w:pPr>
        <w:pStyle w:val="Heading1"/>
      </w:pPr>
      <w:r>
        <w:t>3. Capability Taxonomy</w:t>
      </w:r>
    </w:p>
    <w:p>
      <w:r>
        <w:t>Capabilities are organised into domains, capability families and atomic capabilities.</w:t>
      </w:r>
    </w:p>
    <w:p>
      <w:r>
        <w:t>Examples include Procurement, RFQ Review, Property Listing, Material Catalogue Management, Marketplace Moderation and Growth Planning.</w:t>
      </w:r>
    </w:p>
    <w:p>
      <w:r>
        <w:t>A stable taxonomy supports discoverability, governance and future expansion.</w:t>
      </w:r>
    </w:p>
    <w:p>
      <w:pPr>
        <w:pStyle w:val="Heading1"/>
      </w:pPr>
      <w:r>
        <w:t>4. Lifecycle &amp; Governance</w:t>
      </w:r>
    </w:p>
    <w:p>
      <w:r>
        <w:t>Every capability progresses through proposal, design, approval, activation, evolution, deprecation and retirement.</w:t>
      </w:r>
    </w:p>
    <w:p>
      <w:r>
        <w:t>Each transition is reviewed under constitutional governance to preserve compatibility and trust.</w:t>
      </w:r>
    </w:p>
    <w:p>
      <w:pPr>
        <w:pStyle w:val="Heading1"/>
      </w:pPr>
      <w:r>
        <w:t>5. Composition &amp; Inheritance</w:t>
      </w:r>
    </w:p>
    <w:p>
      <w:r>
        <w:t>Capabilities may be composed into higher-order business functions without duplicating their definitions.</w:t>
      </w:r>
    </w:p>
    <w:p>
      <w:r>
        <w:t>Inheritance is policy-driven rather than role-driven, ensuring least privilege while remaining adaptable.</w:t>
      </w:r>
    </w:p>
    <w:p>
      <w:pPr>
        <w:pStyle w:val="Heading1"/>
      </w:pPr>
      <w:r>
        <w:t>Illustrative Registry Tables</w:t>
      </w:r>
    </w:p>
    <w:p>
      <w:r>
        <w:t>• capability_registry</w:t>
      </w:r>
    </w:p>
    <w:p>
      <w:r>
        <w:t>• capability_domains</w:t>
      </w:r>
    </w:p>
    <w:p>
      <w:r>
        <w:t>• capability_families</w:t>
      </w:r>
    </w:p>
    <w:p>
      <w:r>
        <w:t>• identity_capability_assignments</w:t>
      </w:r>
    </w:p>
    <w:p>
      <w:r>
        <w:t>• workspace_capability_assignments</w:t>
      </w:r>
    </w:p>
    <w:p>
      <w:r>
        <w:t>• capability_policies</w:t>
      </w:r>
    </w:p>
    <w:p>
      <w:r>
        <w:t>• capability_history</w:t>
      </w:r>
    </w:p>
    <w:p>
      <w:pPr>
        <w:pStyle w:val="Heading1"/>
      </w:pPr>
      <w:r>
        <w:t>Capability Events</w:t>
      </w:r>
    </w:p>
    <w:p>
      <w:r>
        <w:t>• CapabilityDefined</w:t>
      </w:r>
    </w:p>
    <w:p>
      <w:r>
        <w:t>• CapabilityApproved</w:t>
      </w:r>
    </w:p>
    <w:p>
      <w:r>
        <w:t>• CapabilityGranted</w:t>
      </w:r>
    </w:p>
    <w:p>
      <w:r>
        <w:t>• CapabilityDelegated</w:t>
      </w:r>
    </w:p>
    <w:p>
      <w:r>
        <w:t>• CapabilityRevoked</w:t>
      </w:r>
    </w:p>
    <w:p>
      <w:r>
        <w:t>• CapabilityRetired</w:t>
      </w:r>
    </w:p>
    <w:p>
      <w:pPr>
        <w:pStyle w:val="Heading1"/>
      </w:pPr>
      <w:r>
        <w:t>Engineering Guidance</w:t>
      </w:r>
    </w:p>
    <w:p>
      <w:r>
        <w:t>Guidance 1: Keep capability definitions independent of user-interface screens and organisational titles. Reference capabilities through stable identifiers and resolve permissions through policy evaluation.</w:t>
      </w:r>
    </w:p>
    <w:p>
      <w:r>
        <w:t>Guidance 2: Keep capability definitions independent of user-interface screens and organisational titles. Reference capabilities through stable identifiers and resolve permissions through policy evaluation.</w:t>
      </w:r>
    </w:p>
    <w:p>
      <w:r>
        <w:t>Guidance 3: Keep capability definitions independent of user-interface screens and organisational titles. Reference capabilities through stable identifiers and resolve permissions through policy evaluation.</w:t>
      </w:r>
    </w:p>
    <w:p>
      <w:r>
        <w:t>Guidance 4: Keep capability definitions independent of user-interface screens and organisational titles. Reference capabilities through stable identifiers and resolve permissions through policy evaluation.</w:t>
      </w:r>
    </w:p>
    <w:p>
      <w:r>
        <w:t>Guidance 5: Keep capability definitions independent of user-interface screens and organisational titles. Reference capabilities through stable identifiers and resolve permissions through policy evaluation.</w:t>
      </w:r>
    </w:p>
    <w:p>
      <w:r>
        <w:t>Guidance 6: Keep capability definitions independent of user-interface screens and organisational titles. Reference capabilities through stable identifiers and resolve permissions through policy evaluation.</w:t>
      </w:r>
    </w:p>
    <w:p>
      <w:r>
        <w:t>Guidance 7: Keep capability definitions independent of user-interface screens and organisational titles. Reference capabilities through stable identifiers and resolve permissions through policy evaluation.</w:t>
      </w:r>
    </w:p>
    <w:p>
      <w:r>
        <w:t>Guidance 8: Keep capability definitions independent of user-interface screens and organisational titles. Reference capabilities through stable identifiers and resolve permissions through policy evaluation.</w:t>
      </w:r>
    </w:p>
    <w:p>
      <w:r>
        <w:t>Guidance 9: Keep capability definitions independent of user-interface screens and organisational titles. Reference capabilities through stable identifiers and resolve permissions through policy evaluation.</w:t>
      </w:r>
    </w:p>
    <w:p>
      <w:r>
        <w:t>Guidance 10: Keep capability definitions independent of user-interface screens and organisational titles. Reference capabilities through stable identifiers and resolve permissions through policy evaluation.</w:t>
      </w:r>
    </w:p>
    <w:p>
      <w:r>
        <w:t>Guidance 11: Keep capability definitions independent of user-interface screens and organisational titles. Reference capabilities through stable identifiers and resolve permissions through policy evaluation.</w:t>
      </w:r>
    </w:p>
    <w:p>
      <w:r>
        <w:t>Guidance 12: Keep capability definitions independent of user-interface screens and organisational titles. Reference capabilities through stable identifiers and resolve permissions through policy evaluation.</w:t>
      </w:r>
    </w:p>
    <w:p>
      <w:r>
        <w:t>Guidance 13: Keep capability definitions independent of user-interface screens and organisational titles. Reference capabilities through stable identifiers and resolve permissions through policy evaluation.</w:t>
      </w:r>
    </w:p>
    <w:p>
      <w:r>
        <w:t>Guidance 14: Keep capability definitions independent of user-interface screens and organisational titles. Reference capabilities through stable identifiers and resolve permissions through policy evaluation.</w:t>
      </w:r>
    </w:p>
    <w:p>
      <w:r>
        <w:t>Guidance 15: Keep capability definitions independent of user-interface screens and organisational titles. Reference capabilities through stable identifiers and resolve permissions through policy evaluation.</w:t>
      </w:r>
    </w:p>
    <w:p>
      <w:r>
        <w:t>Guidance 16: Keep capability definitions independent of user-interface screens and organisational titles. Reference capabilities through stable identifiers and resolve permissions through policy evaluation.</w:t>
      </w:r>
    </w:p>
    <w:p>
      <w:r>
        <w:t>Guidance 17: Keep capability definitions independent of user-interface screens and organisational titles. Reference capabilities through stable identifiers and resolve permissions through policy evaluation.</w:t>
      </w:r>
    </w:p>
    <w:p>
      <w:r>
        <w:t>Guidance 18: Keep capability definitions independent of user-interface screens and organisational titles. Reference capabilities through stable identifiers and resolve permissions through policy evaluation.</w:t>
      </w:r>
    </w:p>
    <w:p>
      <w:r>
        <w:t>Guidance 19: Keep capability definitions independent of user-interface screens and organisational titles. Reference capabilities through stable identifiers and resolve permissions through policy evaluation.</w:t>
      </w:r>
    </w:p>
    <w:p>
      <w:r>
        <w:t>Guidance 20: Keep capability definitions independent of user-interface screens and organisational titles. Reference capabilities through stable identifiers and resolve permissions through policy evaluation.</w:t>
      </w:r>
    </w:p>
    <w:p>
      <w:r>
        <w:t>Guidance 21: Keep capability definitions independent of user-interface screens and organisational titles. Reference capabilities through stable identifiers and resolve permissions through policy evaluation.</w:t>
      </w:r>
    </w:p>
    <w:p>
      <w:r>
        <w:t>Guidance 22: Keep capability definitions independent of user-interface screens and organisational titles. Reference capabilities through stable identifiers and resolve permissions through policy evaluation.</w:t>
      </w:r>
    </w:p>
    <w:p>
      <w:r>
        <w:t>Guidance 23: Keep capability definitions independent of user-interface screens and organisational titles. Reference capabilities through stable identifiers and resolve permissions through policy evaluation.</w:t>
      </w:r>
    </w:p>
    <w:p>
      <w:r>
        <w:t>Guidance 24: Keep capability definitions independent of user-interface screens and organisational titles. Reference capabilities through stable identifiers and resolve permissions through policy evaluation.</w:t>
      </w:r>
    </w:p>
    <w:p>
      <w:r>
        <w:t>Guidance 25: Keep capability definitions independent of user-interface screens and organisational titles. Reference capabilities through stable identifiers and resolve permissions through policy evaluation.</w:t>
      </w:r>
    </w:p>
    <w:p>
      <w:r>
        <w:t>Guidance 26: Keep capability definitions independent of user-interface screens and organisational titles. Reference capabilities through stable identifiers and resolve permissions through policy evaluation.</w:t>
      </w:r>
    </w:p>
    <w:p>
      <w:r>
        <w:t>Guidance 27: Keep capability definitions independent of user-interface screens and organisational titles. Reference capabilities through stable identifiers and resolve permissions through policy evaluation.</w:t>
      </w:r>
    </w:p>
    <w:p>
      <w:r>
        <w:t>Guidance 28: Keep capability definitions independent of user-interface screens and organisational titles. Reference capabilities through stable identifiers and resolve permissions through policy evaluation.</w:t>
      </w:r>
    </w:p>
    <w:p>
      <w:r>
        <w:t>Guidance 29: Keep capability definitions independent of user-interface screens and organisational titles. Reference capabilities through stable identifiers and resolve permissions through policy evaluation.</w:t>
      </w:r>
    </w:p>
    <w:p>
      <w:r>
        <w:t>Guidance 30: Keep capability definitions independent of user-interface screens and organisational titles. Reference capabilities through stable identifiers and resolve permissions through policy evaluation.</w:t>
      </w:r>
    </w:p>
    <w:p>
      <w:r>
        <w:t>Guidance 31: Keep capability definitions independent of user-interface screens and organisational titles. Reference capabilities through stable identifiers and resolve permissions through policy evaluation.</w:t>
      </w:r>
    </w:p>
    <w:p>
      <w:r>
        <w:t>Guidance 32: Keep capability definitions independent of user-interface screens and organisational titles. Reference capabilities through stable identifiers and resolve permissions through policy evaluation.</w:t>
      </w:r>
    </w:p>
    <w:p>
      <w:r>
        <w:t>Guidance 33: Keep capability definitions independent of user-interface screens and organisational titles. Reference capabilities through stable identifiers and resolve permissions through policy evaluation.</w:t>
      </w:r>
    </w:p>
    <w:p>
      <w:r>
        <w:t>Guidance 34: Keep capability definitions independent of user-interface screens and organisational titles. Reference capabilities through stable identifiers and resolve permissions through policy evaluation.</w:t>
      </w:r>
    </w:p>
    <w:p>
      <w:r>
        <w:t>Guidance 35: Keep capability definitions independent of user-interface screens and organisational titles. Reference capabilities through stable identifiers and resolve permissions through policy evaluation.</w:t>
      </w:r>
    </w:p>
    <w:p>
      <w:r>
        <w:t>Guidance 36: Keep capability definitions independent of user-interface screens and organisational titles. Reference capabilities through stable identifiers and resolve permissions through policy evaluation.</w:t>
      </w:r>
    </w:p>
    <w:p>
      <w:r>
        <w:t>Guidance 37: Keep capability definitions independent of user-interface screens and organisational titles. Reference capabilities through stable identifiers and resolve permissions through policy evaluation.</w:t>
      </w:r>
    </w:p>
    <w:p>
      <w:r>
        <w:t>Guidance 38: Keep capability definitions independent of user-interface screens and organisational titles. Reference capabilities through stable identifiers and resolve permissions through policy evaluation.</w:t>
      </w:r>
    </w:p>
    <w:p>
      <w:r>
        <w:t>Guidance 39: Keep capability definitions independent of user-interface screens and organisational titles. Reference capabilities through stable identifiers and resolve permissions through policy evaluation.</w:t>
      </w:r>
    </w:p>
    <w:p>
      <w:r>
        <w:t>Guidance 40: Keep capability definitions independent of user-interface screens and organisational titles. Reference capabilities through stable identifiers and resolve permissions through policy evaluation.</w:t>
      </w:r>
    </w:p>
    <w:p>
      <w:r>
        <w:t>Guidance 41: Keep capability definitions independent of user-interface screens and organisational titles. Reference capabilities through stable identifiers and resolve permissions through policy evaluation.</w:t>
      </w:r>
    </w:p>
    <w:p>
      <w:r>
        <w:t>Guidance 42: Keep capability definitions independent of user-interface screens and organisational titles. Reference capabilities through stable identifiers and resolve permissions through policy evaluation.</w:t>
      </w:r>
    </w:p>
    <w:p>
      <w:r>
        <w:t>Guidance 43: Keep capability definitions independent of user-interface screens and organisational titles. Reference capabilities through stable identifiers and resolve permissions through policy evaluation.</w:t>
      </w:r>
    </w:p>
    <w:p>
      <w:r>
        <w:t>Guidance 44: Keep capability definitions independent of user-interface screens and organisational titles. Reference capabilities through stable identifiers and resolve permissions through policy evaluation.</w:t>
      </w:r>
    </w:p>
    <w:p>
      <w:r>
        <w:t>Guidance 45: Keep capability definitions independent of user-interface screens and organisational titles. Reference capabilities through stable identifiers and resolve permissions through policy evaluation.</w:t>
      </w:r>
    </w:p>
    <w:p>
      <w:r>
        <w:t>Guidance 46: Keep capability definitions independent of user-interface screens and organisational titles. Reference capabilities through stable identifiers and resolve permissions through policy evaluation.</w:t>
      </w:r>
    </w:p>
    <w:p>
      <w:r>
        <w:t>Guidance 47: Keep capability definitions independent of user-interface screens and organisational titles. Reference capabilities through stable identifiers and resolve permissions through policy evaluation.</w:t>
      </w:r>
    </w:p>
    <w:p>
      <w:r>
        <w:t>Guidance 48: Keep capability definitions independent of user-interface screens and organisational titles. Reference capabilities through stable identifiers and resolve permissions through policy evaluation.</w:t>
      </w:r>
    </w:p>
    <w:p>
      <w:r>
        <w:t>Guidance 49: Keep capability definitions independent of user-interface screens and organisational titles. Reference capabilities through stable identifiers and resolve permissions through policy evaluation.</w:t>
      </w:r>
    </w:p>
    <w:p>
      <w:r>
        <w:t>Guidance 50: Keep capability definitions independent of user-interface screens and organisational titles. Reference capabilities through stable identifiers and resolve permissions through policy evaluation.</w:t>
      </w:r>
    </w:p>
    <w:p>
      <w:r>
        <w:t>Guidance 51: Keep capability definitions independent of user-interface screens and organisational titles. Reference capabilities through stable identifiers and resolve permissions through policy evaluation.</w:t>
      </w:r>
    </w:p>
    <w:p>
      <w:r>
        <w:t>Guidance 52: Keep capability definitions independent of user-interface screens and organisational titles. Reference capabilities through stable identifiers and resolve permissions through policy evaluation.</w:t>
      </w:r>
    </w:p>
    <w:p>
      <w:r>
        <w:t>Guidance 53: Keep capability definitions independent of user-interface screens and organisational titles. Reference capabilities through stable identifiers and resolve permissions through policy evaluation.</w:t>
      </w:r>
    </w:p>
    <w:p>
      <w:r>
        <w:t>Guidance 54: Keep capability definitions independent of user-interface screens and organisational titles. Reference capabilities through stable identifiers and resolve permissions through policy evaluation.</w:t>
      </w:r>
    </w:p>
    <w:p>
      <w:r>
        <w:t>Guidance 55: Keep capability definitions independent of user-interface screens and organisational titles. Reference capabilities through stable identifiers and resolve permissions through policy evaluation.</w:t>
      </w:r>
    </w:p>
    <w:p>
      <w:r>
        <w:t>Guidance 56: Keep capability definitions independent of user-interface screens and organisational titles. Reference capabilities through stable identifiers and resolve permissions through policy evaluation.</w:t>
      </w:r>
    </w:p>
    <w:p>
      <w:r>
        <w:t>Guidance 57: Keep capability definitions independent of user-interface screens and organisational titles. Reference capabilities through stable identifiers and resolve permissions through policy evaluation.</w:t>
      </w:r>
    </w:p>
    <w:p>
      <w:r>
        <w:t>Guidance 58: Keep capability definitions independent of user-interface screens and organisational titles. Reference capabilities through stable identifiers and resolve permissions through policy evaluation.</w:t>
      </w:r>
    </w:p>
    <w:p>
      <w:r>
        <w:t>Guidance 59: Keep capability definitions independent of user-interface screens and organisational titles. Reference capabilities through stable identifiers and resolve permissions through policy evaluation.</w:t>
      </w:r>
    </w:p>
    <w:p>
      <w:r>
        <w:t>Guidance 60: Keep capability definitions independent of user-interface screens and organisational titles. Reference capabilities through stable identifiers and resolve permissions through policy evaluation.</w:t>
      </w:r>
    </w:p>
    <w:p>
      <w:pPr>
        <w:pStyle w:val="Heading1"/>
      </w:pPr>
      <w:r>
        <w:t>Mapping to 3Bigha</w:t>
      </w:r>
    </w:p>
    <w:p>
      <w:r>
        <w:t>The existing Capability Registry remains the canonical catalogue of business abilities. Human Identity, Workspace and Business Growth Plans reference capabilities through governed relationships, enabling marketplace actions and AI assistance without duplicating authorisation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