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Constitution of 3Bigha</w:t>
      </w:r>
    </w:p>
    <w:p>
      <w:pPr>
        <w:pStyle w:val="Heading2"/>
      </w:pPr>
      <w:r>
        <w:t>Volume XIV — 3BOS Reference Architecture</w:t>
      </w:r>
    </w:p>
    <w:p>
      <w:pPr>
        <w:pStyle w:val="Heading2"/>
      </w:pPr>
      <w:r>
        <w:t>Book I — The Complete Human Identity Architecture</w:t>
      </w:r>
    </w:p>
    <w:p>
      <w:pPr>
        <w:pStyle w:val="Heading2"/>
      </w:pPr>
      <w:r>
        <w:t>Part V — Human Identity Runtime Architecture</w:t>
      </w:r>
    </w:p>
    <w:p>
      <w:pPr>
        <w:pStyle w:val="Heading2"/>
      </w:pPr>
      <w:r>
        <w:t>Subpart V.1 — From Persistent Identity to Runtime Context (Part 1)</w:t>
      </w:r>
    </w:p>
    <w:p>
      <w:r>
        <w:t>Part IV established the constitutional persistence architecture required to preserve Human Identity, Workspace, Capability, Relationship and Policy as durable constitutional truth. The natural continuation of that work is Runtime. Persistence preserves constitutional memory. Runtime transforms constitutional memory into constitutional behaviour.</w:t>
      </w:r>
    </w:p>
    <w:p>
      <w:r>
        <w:t>Runtime is not another infrastructure layer. It is the constitutional interpreter that assembles persistent facts into a single executable Human Context for every operation. The operating system must never ask business modules to rediscover identity, workspace or capability. Those questions are answered once by Runtime before business execution begins.</w:t>
      </w:r>
    </w:p>
    <w:p>
      <w:r>
        <w:t>Persistent truth and runtime truth serve different purposes. Persistence answers what is permanently true. Runtime answers what is constitutionally true for this exact moment, workspace, policy version, relationship graph and operational environment. The separation protects explainability, determinism and backward compatibility.</w:t>
      </w:r>
    </w:p>
    <w:p>
      <w:r>
        <w:t>Every execution therefore begins with constitutional interpretation. Authentication identifies an account. Human Identity establishes the constitutional person. Workspace establishes operational context. Relationships explain representation. Capability defines executable authority. Policy constrains behaviour. Trust evaluates confidence. AI receives this completed context rather than constructing it independently.</w:t>
      </w:r>
    </w:p>
    <w:p>
      <w:r>
        <w:t>The existing 3Bigha repository already contains the first constitutional foundations of this Runtime through its additive compatibility layer. The next migration step is not replacement but promotion: the compatibility runtime gradually becomes the authoritative runtime while preserving production continuity.</w:t>
      </w:r>
    </w:p>
    <w:p>
      <w:pPr>
        <w:pStyle w:val="Heading3"/>
      </w:pPr>
      <w:r>
        <w:t>Continuation</w:t>
      </w:r>
    </w:p>
    <w:p>
      <w:r>
        <w:t>This manuscript continues directly from Part IV and is intended to be expanded across subsequent parts until the full Subpart V.1 reaches completion. Every following installment should continue from the final sentence of the previous manuscript without recap, maintaining constitutional continuity, repository mapping, migration guidance and engineering depth.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