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Causal Failure Attribution for Multi-Agent LLM Pipelines via Counterfactual Replay</w:t>
      </w:r>
    </w:p>
    <w:p>
      <w:pPr>
        <w:spacing w:after="60"/>
        <w:jc w:val="center"/>
      </w:pPr>
      <w:r>
        <w:rPr>
          <w:rFonts w:ascii="Times New Roman" w:cs="Times New Roman" w:eastAsia="Times New Roman" w:hAnsi="Times New Roman"/>
          <w:b/>
          <w:bCs/>
          <w:sz w:val="20"/>
          <w:szCs w:val="20"/>
        </w:rPr>
        <w:t xml:space="preserve">Asmita Patil¹, Meet Shah², Ameya Kawade³, Shivam Potpalliwar⁴, Snigdha Choudhari⁵, Dipak Pote⁶</w:t>
      </w:r>
    </w:p>
    <w:p>
      <w:pPr>
        <w:spacing w:after="40"/>
        <w:jc w:val="center"/>
      </w:pPr>
      <w:r>
        <w:rPr>
          <w:rFonts w:ascii="Times New Roman" w:cs="Times New Roman" w:eastAsia="Times New Roman" w:hAnsi="Times New Roman"/>
          <w:i/>
          <w:iCs/>
          <w:sz w:val="18"/>
          <w:szCs w:val="18"/>
        </w:rPr>
        <w:t xml:space="preserve">¹⁻⁶ Department of Information Technology, Vishwakarma Institute of Technology, Pune, India</w:t>
      </w:r>
    </w:p>
    <w:p>
      <w:pPr>
        <w:spacing w:after="180"/>
        <w:jc w:val="center"/>
      </w:pPr>
      <w:r>
        <w:rPr>
          <w:rFonts w:ascii="Times New Roman" w:cs="Times New Roman" w:eastAsia="Times New Roman" w:hAnsi="Times New Roman"/>
          <w:i/>
          <w:iCs/>
          <w:sz w:val="18"/>
          <w:szCs w:val="18"/>
        </w:rPr>
        <w:t xml:space="preserve">asmita.patil@vit.edu</w:t>
      </w:r>
    </w:p>
    <w:p>
      <w:pPr>
        <w:spacing w:after="100" w:before="60" w:line="240"/>
        <w:ind w:left="431" w:right="431"/>
        <w:jc w:val="both"/>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Multi-agent pipelines built from large language models (LLMs) increasingly coordinate specialized agents—planners, coders, testers, reviewers—to solve tasks such as software repair and web navigation. When such a pipeline fails, existing observability tools record what happened at each step but cannot identify which step, if corrected, would have fixed the outcome. This paper introduces Causal Failure Attribution (CFA), a framework that reframes multi-agent debugging as a counterfactual-replay problem inspired by delta debugging. CFA checkpoints agent state after every handoff, substitutes each checkpoint with a corrected or perturbed alternative, re-executes the remainder of the pipeline, and scores each substitution by how much it changes the final outcome. The resulting Causal Responsibility Score (CRS) isolates the minimal chain of agents responsible for a failure without requiring advance instrumentation. A pilot evaluation on 90 curated failure traces from SWE-agent and WebArena-style pipelines shows that CFA attributes failures to the correct agent with substantially higher precision than last-agent and uniform-attribution heuristics, at bounded replay-cost overhead, and reduces developer failure-localization time relative to manual log inspection.</w:t>
      </w:r>
    </w:p>
    <w:p>
      <w:pPr>
        <w:spacing w:after="200" w:line="240"/>
        <w:ind w:left="431" w:right="431"/>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multi-agent systems · large language models · causal inference · counterfactual replay · fault localization · delta debugging · agent observability · root-cause analysis</w:t>
      </w:r>
    </w:p>
    <w:p>
      <w:pPr>
        <w:spacing w:after="80" w:before="200"/>
        <w:jc w:val="left"/>
      </w:pPr>
      <w:r>
        <w:rPr>
          <w:rFonts w:ascii="Times New Roman" w:cs="Times New Roman" w:eastAsia="Times New Roman" w:hAnsi="Times New Roman"/>
          <w:b/>
          <w:bCs/>
          <w:sz w:val="20"/>
          <w:szCs w:val="20"/>
        </w:rPr>
        <w:t xml:space="preserve">1. INTRODUCTION</w:t>
      </w:r>
    </w:p>
    <w:p>
      <w:pPr>
        <w:spacing w:after="60" w:before="160"/>
        <w:jc w:val="left"/>
      </w:pPr>
      <w:r>
        <w:rPr>
          <w:rFonts w:ascii="Times New Roman" w:cs="Times New Roman" w:eastAsia="Times New Roman" w:hAnsi="Times New Roman"/>
          <w:b/>
          <w:bCs/>
          <w:i/>
          <w:iCs/>
          <w:sz w:val="20"/>
          <w:szCs w:val="20"/>
        </w:rPr>
        <w:t xml:space="preserve">1.1 From Single-Turn Generation to Agentic Pipelines</w:t>
      </w:r>
    </w:p>
    <w:p>
      <w:pPr>
        <w:spacing w:after="100" w:line="240"/>
        <w:ind w:firstLine="360"/>
        <w:jc w:val="both"/>
      </w:pPr>
      <w:r>
        <w:rPr>
          <w:rFonts w:ascii="Times New Roman" w:cs="Times New Roman" w:eastAsia="Times New Roman" w:hAnsi="Times New Roman"/>
          <w:sz w:val="20"/>
          <w:szCs w:val="20"/>
        </w:rPr>
        <w:t xml:space="preserve">The transformer architecture [1] enabled language models whose behavior scales predictably with parameters, data, and compute [2, 3]. Instruction tuning with human feedback converted these models into assistants [4], and chain-of-thought prompting elicited multi-step reasoning without weight updates [5]. The next stage moved language models from passive generators to active agents: ReAct interleaves reasoning traces with actions [6]; Toolformer demonstrates self-supervised tool invocation [7]; and Reflexion and Self-Refine add iterative self-critique loops [8, 9].</w:t>
      </w:r>
    </w:p>
    <w:p>
      <w:pPr>
        <w:spacing w:after="100" w:line="240"/>
        <w:ind w:firstLine="360"/>
        <w:jc w:val="both"/>
      </w:pPr>
      <w:r>
        <w:rPr>
          <w:rFonts w:ascii="Times New Roman" w:cs="Times New Roman" w:eastAsia="Times New Roman" w:hAnsi="Times New Roman"/>
          <w:sz w:val="20"/>
          <w:szCs w:val="20"/>
        </w:rPr>
        <w:t xml:space="preserve">Because a single agent’s context and role-specialization are limited, practitioners compose several LLM-backed agents into pipelines. AutoGen provides a generic framework of conversable agents [12]. MetaGPT encodes standardized operating procedures to curb cascading hallucination [13]. CAMEL instantiates role-playing agents [14], and ChatDev organizes agents into a waterfall-style software company [15]. This shift has been accompanied by execution-grounded benchmarks—SWE-bench [16], SWE-agent [17], WebArena [18], AgentBench [19], and GAIA [20]—that quantify how often these pipelines still fail.</w:t>
      </w:r>
    </w:p>
    <w:p>
      <w:pPr>
        <w:spacing w:after="60" w:before="160"/>
        <w:jc w:val="left"/>
      </w:pPr>
      <w:r>
        <w:rPr>
          <w:rFonts w:ascii="Times New Roman" w:cs="Times New Roman" w:eastAsia="Times New Roman" w:hAnsi="Times New Roman"/>
          <w:b/>
          <w:bCs/>
          <w:i/>
          <w:iCs/>
          <w:sz w:val="20"/>
          <w:szCs w:val="20"/>
        </w:rPr>
        <w:t xml:space="preserve">1.2 The Attribution Gap</w:t>
      </w:r>
    </w:p>
    <w:p>
      <w:pPr>
        <w:spacing w:after="100" w:line="240"/>
        <w:ind w:firstLine="360"/>
        <w:jc w:val="both"/>
      </w:pPr>
      <w:r>
        <w:rPr>
          <w:rFonts w:ascii="Times New Roman" w:cs="Times New Roman" w:eastAsia="Times New Roman" w:hAnsi="Times New Roman"/>
          <w:sz w:val="20"/>
          <w:szCs w:val="20"/>
        </w:rPr>
        <w:t xml:space="preserve">When a multi-agent pipeline fails, the artifact left behind is a trace: a sequence of prompts, tool calls, and intermediate outputs. Agent-observability tooling renders this trace as a timeline of spans, similar to distributed-tracing dashboards. Such tools answer “what happened?” but not “which step, if corrected, would have changed the outcome?” This second question is counterfactual and causal—exactly the question classical software debugging has spent four decades answering for single programs. Spectrum-based fault localization ranks statements by failure correlation [22], and delta debugging minimizes the difference between failing and passing executions [22]. None of these techniques was designed for a program whose intermediate values are free-form natural language produced by a stochastic model.</w:t>
      </w:r>
    </w:p>
    <w:p>
      <w:pPr>
        <w:spacing w:after="60" w:before="160"/>
        <w:jc w:val="left"/>
      </w:pPr>
      <w:r>
        <w:rPr>
          <w:rFonts w:ascii="Times New Roman" w:cs="Times New Roman" w:eastAsia="Times New Roman" w:hAnsi="Times New Roman"/>
          <w:b/>
          <w:bCs/>
          <w:i/>
          <w:iCs/>
          <w:sz w:val="20"/>
          <w:szCs w:val="20"/>
        </w:rPr>
        <w:t xml:space="preserve">1.3 Research Questions and Contributions</w:t>
      </w:r>
    </w:p>
    <w:p>
      <w:pPr>
        <w:spacing w:after="100" w:line="240"/>
        <w:ind w:firstLine="360"/>
        <w:jc w:val="both"/>
      </w:pPr>
      <w:r>
        <w:rPr>
          <w:rFonts w:ascii="Times New Roman" w:cs="Times New Roman" w:eastAsia="Times New Roman" w:hAnsi="Times New Roman"/>
          <w:b/>
          <w:bCs/>
          <w:sz w:val="20"/>
          <w:szCs w:val="20"/>
        </w:rPr>
        <w:t xml:space="preserve">RQ1: </w:t>
      </w:r>
      <w:r>
        <w:rPr>
          <w:rFonts w:ascii="Times New Roman" w:cs="Times New Roman" w:eastAsia="Times New Roman" w:hAnsi="Times New Roman"/>
          <w:sz w:val="20"/>
          <w:szCs w:val="20"/>
        </w:rPr>
        <w:t xml:space="preserve">Can counterfactual replay isolate the causally responsible agent step(s) in a failing pipeline with higher precision than simple heuristics? </w:t>
      </w:r>
      <w:r>
        <w:rPr>
          <w:rFonts w:ascii="Times New Roman" w:cs="Times New Roman" w:eastAsia="Times New Roman" w:hAnsi="Times New Roman"/>
          <w:b/>
          <w:bCs/>
          <w:sz w:val="20"/>
          <w:szCs w:val="20"/>
        </w:rPr>
        <w:t xml:space="preserve">RQ2: </w:t>
      </w:r>
      <w:r>
        <w:rPr>
          <w:rFonts w:ascii="Times New Roman" w:cs="Times New Roman" w:eastAsia="Times New Roman" w:hAnsi="Times New Roman"/>
          <w:sz w:val="20"/>
          <w:szCs w:val="20"/>
        </w:rPr>
        <w:t xml:space="preserve">How do perturbation-source choice and checkpoint granularity affect attribution accuracy and replay cost? </w:t>
      </w:r>
      <w:r>
        <w:rPr>
          <w:rFonts w:ascii="Times New Roman" w:cs="Times New Roman" w:eastAsia="Times New Roman" w:hAnsi="Times New Roman"/>
          <w:b/>
          <w:bCs/>
          <w:sz w:val="20"/>
          <w:szCs w:val="20"/>
        </w:rPr>
        <w:t xml:space="preserve">RQ3: </w:t>
      </w:r>
      <w:r>
        <w:rPr>
          <w:rFonts w:ascii="Times New Roman" w:cs="Times New Roman" w:eastAsia="Times New Roman" w:hAnsi="Times New Roman"/>
          <w:sz w:val="20"/>
          <w:szCs w:val="20"/>
        </w:rPr>
        <w:t xml:space="preserve">Does counterfactual attribution reduce developer debugging time relative to manual log inspection?</w:t>
      </w:r>
    </w:p>
    <w:p>
      <w:pPr>
        <w:spacing w:after="100" w:line="240"/>
        <w:ind w:firstLine="360"/>
        <w:jc w:val="both"/>
      </w:pPr>
      <w:r>
        <w:rPr>
          <w:rFonts w:ascii="Times New Roman" w:cs="Times New Roman" w:eastAsia="Times New Roman" w:hAnsi="Times New Roman"/>
          <w:sz w:val="20"/>
          <w:szCs w:val="20"/>
        </w:rPr>
        <w:t xml:space="preserve">We contribute: (1) the CFA framework and reference architecture; (2) a formal Causal Responsibility Score (CRS); (3) a pilot benchmark of 90 human-labeled failure traces; (4) a comparative evaluation against baselines along a precision/cost Pareto frontier; and (5) an analysis of risks and future directions.</w:t>
      </w:r>
    </w:p>
    <w:p>
      <w:pPr>
        <w:spacing w:after="80" w:before="200"/>
        <w:jc w:val="left"/>
      </w:pPr>
      <w:r>
        <w:rPr>
          <w:rFonts w:ascii="Times New Roman" w:cs="Times New Roman" w:eastAsia="Times New Roman" w:hAnsi="Times New Roman"/>
          <w:b/>
          <w:bCs/>
          <w:sz w:val="20"/>
          <w:szCs w:val="20"/>
        </w:rPr>
        <w:t xml:space="preserve">2. BACKGROUND AND FOUNDATIONS</w:t>
      </w:r>
    </w:p>
    <w:p>
      <w:pPr>
        <w:spacing w:after="60" w:before="160"/>
        <w:jc w:val="left"/>
      </w:pPr>
      <w:r>
        <w:rPr>
          <w:rFonts w:ascii="Times New Roman" w:cs="Times New Roman" w:eastAsia="Times New Roman" w:hAnsi="Times New Roman"/>
          <w:b/>
          <w:bCs/>
          <w:i/>
          <w:iCs/>
          <w:sz w:val="20"/>
          <w:szCs w:val="20"/>
        </w:rPr>
        <w:t xml:space="preserve">2.1 Transformer Architecture and Scaling Laws</w:t>
      </w:r>
    </w:p>
    <w:p>
      <w:pPr>
        <w:spacing w:after="100" w:line="240"/>
        <w:ind w:firstLine="360"/>
        <w:jc w:val="both"/>
      </w:pPr>
      <w:r>
        <w:rPr>
          <w:rFonts w:ascii="Times New Roman" w:cs="Times New Roman" w:eastAsia="Times New Roman" w:hAnsi="Times New Roman"/>
          <w:sz w:val="20"/>
          <w:szCs w:val="20"/>
        </w:rPr>
        <w:t xml:space="preserve">Every model considered here is a decoder-only transformer descended from Vaswani et al. [1], which replaced recurrence with scaled dot-product self-attention. Self-attention gives LLM agents the ability to condition each generated token on an entire prior context—the pipeline’s accumulated transcript—which is precisely what makes it possible for CFA to serialize an agent’s state as the textual context it consumed plus the output it produced. Kaplan et al. [2] showed that cross-entropy loss follows a predictable power law in model size and compute; Hoffmann et al. [3] revised this budget allocation toward compute-optimal training. These results explain why practitioners increasingly prefer multi-agent decomposition over single maximal models: a pipeline of specialized, appropriately-scaled agents can be more compute-efficient.</w:t>
      </w:r>
    </w:p>
    <w:p>
      <w:pPr>
        <w:spacing w:after="60" w:before="160"/>
        <w:jc w:val="left"/>
      </w:pPr>
      <w:r>
        <w:rPr>
          <w:rFonts w:ascii="Times New Roman" w:cs="Times New Roman" w:eastAsia="Times New Roman" w:hAnsi="Times New Roman"/>
          <w:b/>
          <w:bCs/>
          <w:i/>
          <w:iCs/>
          <w:sz w:val="20"/>
          <w:szCs w:val="20"/>
        </w:rPr>
        <w:t xml:space="preserve">2.2 Instruction Tuning, Chain-of-Thought, and Acting Agents</w:t>
      </w:r>
    </w:p>
    <w:p>
      <w:pPr>
        <w:spacing w:after="100" w:line="240"/>
        <w:ind w:firstLine="360"/>
        <w:jc w:val="both"/>
      </w:pPr>
      <w:r>
        <w:rPr>
          <w:rFonts w:ascii="Times New Roman" w:cs="Times New Roman" w:eastAsia="Times New Roman" w:hAnsi="Times New Roman"/>
          <w:sz w:val="20"/>
          <w:szCs w:val="20"/>
        </w:rPr>
        <w:t xml:space="preserve">Next-token pretraining alone does not align a model with user intent; InstructGPT [4] closes this gap via RLHF. Chain-of-thought prompting [5] substantially improves reasoning with no additional training. ReAct [6] interleaves reasoning with environment actions; Toolformer [7] learns tool-use self-supervised; Reflexion [8] and Self-Refine [9] add self-critique loops. Two cautionary results motivate CFA’s design: LLMs cannot reliably self-correct reasoning errors without external feedback [10], and self-debugging of code is effective mainly when grounded in execution feedback [11]. Rather than asking a failing agent to fix itself, CFA substitutes an externally sourced corrected output at a checkpoint and observes whether that resolves the failure downstream.</w:t>
      </w:r>
    </w:p>
    <w:p>
      <w:pPr>
        <w:spacing w:after="80" w:before="200"/>
        <w:jc w:val="left"/>
      </w:pPr>
      <w:r>
        <w:rPr>
          <w:rFonts w:ascii="Times New Roman" w:cs="Times New Roman" w:eastAsia="Times New Roman" w:hAnsi="Times New Roman"/>
          <w:b/>
          <w:bCs/>
          <w:sz w:val="20"/>
          <w:szCs w:val="20"/>
        </w:rPr>
        <w:t xml:space="preserve">3. RELATED WORK</w:t>
      </w:r>
    </w:p>
    <w:p>
      <w:pPr>
        <w:spacing w:after="100" w:line="240"/>
        <w:ind w:firstLine="360"/>
        <w:jc w:val="both"/>
      </w:pPr>
      <w:r>
        <w:rPr>
          <w:rFonts w:ascii="Times New Roman" w:cs="Times New Roman" w:eastAsia="Times New Roman" w:hAnsi="Times New Roman"/>
          <w:b/>
          <w:bCs/>
          <w:sz w:val="20"/>
          <w:szCs w:val="20"/>
        </w:rPr>
        <w:t xml:space="preserve">Multi-agent frameworks. </w:t>
      </w:r>
      <w:r>
        <w:rPr>
          <w:rFonts w:ascii="Times New Roman" w:cs="Times New Roman" w:eastAsia="Times New Roman" w:hAnsi="Times New Roman"/>
          <w:sz w:val="20"/>
          <w:szCs w:val="20"/>
        </w:rPr>
        <w:t xml:space="preserve">AutoGen [12], MetaGPT [13], CAMEL [14], and ChatDev [15] each provide mechanisms to reduce cascading errors, but none provides a mechanism to retroactively attribute a failure to the specific agent step that caused it. </w:t>
      </w:r>
      <w:r>
        <w:rPr>
          <w:rFonts w:ascii="Times New Roman" w:cs="Times New Roman" w:eastAsia="Times New Roman" w:hAnsi="Times New Roman"/>
          <w:b/>
          <w:bCs/>
          <w:sz w:val="20"/>
          <w:szCs w:val="20"/>
        </w:rPr>
        <w:t xml:space="preserve">Evaluation benchmarks. </w:t>
      </w:r>
      <w:r>
        <w:rPr>
          <w:rFonts w:ascii="Times New Roman" w:cs="Times New Roman" w:eastAsia="Times New Roman" w:hAnsi="Times New Roman"/>
          <w:sz w:val="20"/>
          <w:szCs w:val="20"/>
        </w:rPr>
        <w:t xml:space="preserve">SWE-bench [16], SWE-agent [17], WebArena [18], AgentBench [19], and GAIA [20] report only end-to-end task success, not which pipeline step was responsible for a given failure. </w:t>
      </w:r>
      <w:r>
        <w:rPr>
          <w:rFonts w:ascii="Times New Roman" w:cs="Times New Roman" w:eastAsia="Times New Roman" w:hAnsi="Times New Roman"/>
          <w:b/>
          <w:bCs/>
          <w:sz w:val="20"/>
          <w:szCs w:val="20"/>
        </w:rPr>
        <w:t xml:space="preserve">Interactive debugging. </w:t>
      </w:r>
      <w:r>
        <w:rPr>
          <w:rFonts w:ascii="Times New Roman" w:cs="Times New Roman" w:eastAsia="Times New Roman" w:hAnsi="Times New Roman"/>
          <w:sz w:val="20"/>
          <w:szCs w:val="20"/>
        </w:rPr>
        <w:t xml:space="preserve">debug-gym [21] gives a single LLM agent a text-based environment with a Python debugger; CFA instead treats the entire multi-agent pipeline as the object under investigation. </w:t>
      </w:r>
      <w:r>
        <w:rPr>
          <w:rFonts w:ascii="Times New Roman" w:cs="Times New Roman" w:eastAsia="Times New Roman" w:hAnsi="Times New Roman"/>
          <w:b/>
          <w:bCs/>
          <w:sz w:val="20"/>
          <w:szCs w:val="20"/>
        </w:rPr>
        <w:t xml:space="preserve">Fault localization and RCA. </w:t>
      </w:r>
      <w:r>
        <w:rPr>
          <w:rFonts w:ascii="Times New Roman" w:cs="Times New Roman" w:eastAsia="Times New Roman" w:hAnsi="Times New Roman"/>
          <w:sz w:val="20"/>
          <w:szCs w:val="20"/>
        </w:rPr>
        <w:t xml:space="preserve">Spectrum-based fault localization [22] and delta debugging generalize to single programs; causal RCA for microservice systems [23–25] perturbs candidate causes and observes propagated effects. CFA borrows this intervention mindset but replaces numeric telemetry with replayable LLM agent outputs.</w:t>
      </w:r>
    </w:p>
    <w:p>
      <w:pPr>
        <w:spacing w:after="80" w:before="200"/>
        <w:jc w:val="left"/>
      </w:pPr>
      <w:r>
        <w:rPr>
          <w:rFonts w:ascii="Times New Roman" w:cs="Times New Roman" w:eastAsia="Times New Roman" w:hAnsi="Times New Roman"/>
          <w:b/>
          <w:bCs/>
          <w:sz w:val="20"/>
          <w:szCs w:val="20"/>
        </w:rPr>
        <w:t xml:space="preserve">4. METHODOLOGY</w:t>
      </w:r>
    </w:p>
    <w:p>
      <w:pPr>
        <w:spacing w:after="60" w:before="160"/>
        <w:jc w:val="left"/>
      </w:pPr>
      <w:r>
        <w:rPr>
          <w:rFonts w:ascii="Times New Roman" w:cs="Times New Roman" w:eastAsia="Times New Roman" w:hAnsi="Times New Roman"/>
          <w:b/>
          <w:bCs/>
          <w:i/>
          <w:iCs/>
          <w:sz w:val="20"/>
          <w:szCs w:val="20"/>
        </w:rPr>
        <w:t xml:space="preserve">4.1 Pipeline Archetypes and Corpus</w:t>
      </w:r>
    </w:p>
    <w:p>
      <w:pPr>
        <w:spacing w:after="100" w:line="240"/>
        <w:ind w:firstLine="360"/>
        <w:jc w:val="both"/>
      </w:pPr>
      <w:r>
        <w:rPr>
          <w:rFonts w:ascii="Times New Roman" w:cs="Times New Roman" w:eastAsia="Times New Roman" w:hAnsi="Times New Roman"/>
          <w:sz w:val="20"/>
          <w:szCs w:val="20"/>
        </w:rPr>
        <w:t xml:space="preserve">We selected four representative pipeline archetypes: (i) a sequential SOP pipeline (MetaGPT-style [13]), (ii) a conversable multi-agent chat pipeline (AutoGen-style [12]), (iii) a single-agent ReAct loop [6] included as a baseline, and (iv) a repository-editing agent (SWE-agent-style [17]). All four satisfy open inspectable orchestration logic, public benchmark support, and diversity of failure modes. Task instances were drawn from SWE-bench [16] and WebArena [18], with AgentBench [19] and GAIA [20] task taxonomies used as stratification schemes to ensure the 90-case pilot corpus covers a spread of capability areas.</w:t>
      </w:r>
    </w:p>
    <w:p>
      <w:pPr>
        <w:spacing w:after="60" w:before="160"/>
        <w:jc w:val="left"/>
      </w:pPr>
      <w:r>
        <w:rPr>
          <w:rFonts w:ascii="Times New Roman" w:cs="Times New Roman" w:eastAsia="Times New Roman" w:hAnsi="Times New Roman"/>
          <w:b/>
          <w:bCs/>
          <w:i/>
          <w:iCs/>
          <w:sz w:val="20"/>
          <w:szCs w:val="20"/>
        </w:rPr>
        <w:t xml:space="preserve">4.2 Metrics</w:t>
      </w:r>
    </w:p>
    <w:p>
      <w:pPr>
        <w:spacing w:after="100" w:line="240"/>
        <w:ind w:firstLine="360"/>
        <w:jc w:val="both"/>
      </w:pPr>
      <w:r>
        <w:rPr>
          <w:rFonts w:ascii="Times New Roman" w:cs="Times New Roman" w:eastAsia="Times New Roman" w:hAnsi="Times New Roman"/>
          <w:sz w:val="20"/>
          <w:szCs w:val="20"/>
        </w:rPr>
        <w:t xml:space="preserve">We report four metric families. </w:t>
      </w:r>
      <w:r>
        <w:rPr>
          <w:rFonts w:ascii="Times New Roman" w:cs="Times New Roman" w:eastAsia="Times New Roman" w:hAnsi="Times New Roman"/>
          <w:b/>
          <w:bCs/>
          <w:sz w:val="20"/>
          <w:szCs w:val="20"/>
        </w:rPr>
        <w:t xml:space="preserve">Attribution metrics: </w:t>
      </w:r>
      <w:r>
        <w:rPr>
          <w:rFonts w:ascii="Times New Roman" w:cs="Times New Roman" w:eastAsia="Times New Roman" w:hAnsi="Times New Roman"/>
          <w:sz w:val="20"/>
          <w:szCs w:val="20"/>
        </w:rPr>
        <w:t xml:space="preserve">Precision@1 and Precision@2 (whether the top-1 or top-2 CRS-ranked checkpoint matches the human-labeled true cause); Mean Localization Distance (MLD, average absolute difference in pipeline-step indices between predicted and true causal step). </w:t>
      </w:r>
      <w:r>
        <w:rPr>
          <w:rFonts w:ascii="Times New Roman" w:cs="Times New Roman" w:eastAsia="Times New Roman" w:hAnsi="Times New Roman"/>
          <w:b/>
          <w:bCs/>
          <w:sz w:val="20"/>
          <w:szCs w:val="20"/>
        </w:rPr>
        <w:t xml:space="preserve">Task metrics: </w:t>
      </w:r>
      <w:r>
        <w:rPr>
          <w:rFonts w:ascii="Times New Roman" w:cs="Times New Roman" w:eastAsia="Times New Roman" w:hAnsi="Times New Roman"/>
          <w:sz w:val="20"/>
          <w:szCs w:val="20"/>
        </w:rPr>
        <w:t xml:space="preserve">resolution accuracy for SWE-bench cases; functional-correctness rate for WebArena cases. </w:t>
      </w:r>
      <w:r>
        <w:rPr>
          <w:rFonts w:ascii="Times New Roman" w:cs="Times New Roman" w:eastAsia="Times New Roman" w:hAnsi="Times New Roman"/>
          <w:b/>
          <w:bCs/>
          <w:sz w:val="20"/>
          <w:szCs w:val="20"/>
        </w:rPr>
        <w:t xml:space="preserve">Efficiency metrics: </w:t>
      </w:r>
      <w:r>
        <w:rPr>
          <w:rFonts w:ascii="Times New Roman" w:cs="Times New Roman" w:eastAsia="Times New Roman" w:hAnsi="Times New Roman"/>
          <w:sz w:val="20"/>
          <w:szCs w:val="20"/>
        </w:rPr>
        <w:t xml:space="preserve">additional LLM calls and token cost per investigated failure, and developer localization time with vs. without CFA. </w:t>
      </w:r>
      <w:r>
        <w:rPr>
          <w:rFonts w:ascii="Times New Roman" w:cs="Times New Roman" w:eastAsia="Times New Roman" w:hAnsi="Times New Roman"/>
          <w:b/>
          <w:bCs/>
          <w:sz w:val="20"/>
          <w:szCs w:val="20"/>
        </w:rPr>
        <w:t xml:space="preserve">Reliability metrics: </w:t>
      </w:r>
      <w:r>
        <w:rPr>
          <w:rFonts w:ascii="Times New Roman" w:cs="Times New Roman" w:eastAsia="Times New Roman" w:hAnsi="Times New Roman"/>
          <w:sz w:val="20"/>
          <w:szCs w:val="20"/>
        </w:rPr>
        <w:t xml:space="preserve">variance of CRS across repeated stochastic replays at a fixed sampling temperature.</w:t>
      </w:r>
    </w:p>
    <w:p>
      <w:pPr>
        <w:spacing w:after="60" w:before="160"/>
        <w:jc w:val="left"/>
      </w:pPr>
      <w:r>
        <w:rPr>
          <w:rFonts w:ascii="Times New Roman" w:cs="Times New Roman" w:eastAsia="Times New Roman" w:hAnsi="Times New Roman"/>
          <w:b/>
          <w:bCs/>
          <w:i/>
          <w:iCs/>
          <w:sz w:val="20"/>
          <w:szCs w:val="20"/>
        </w:rPr>
        <w:t xml:space="preserve">4.3 Ethical Evaluation Approach</w:t>
      </w:r>
    </w:p>
    <w:p>
      <w:pPr>
        <w:spacing w:after="100" w:line="240"/>
        <w:ind w:firstLine="360"/>
        <w:jc w:val="both"/>
      </w:pPr>
      <w:r>
        <w:rPr>
          <w:rFonts w:ascii="Times New Roman" w:cs="Times New Roman" w:eastAsia="Times New Roman" w:hAnsi="Times New Roman"/>
          <w:sz w:val="20"/>
          <w:szCs w:val="20"/>
        </w:rPr>
        <w:t xml:space="preserve">Because CFA assigns responsibility to a specific agent role, we audit attribution stability under paraphrased-but-semantically-equivalent perturbations, adapting fairness-desiderata framing from LLM social-bias research [30] to this role-level setting. We also account for the marginal energy and compute cost of running additional replays per investigated failure [29], and discuss tiered deployment to bound this cost.</w:t>
      </w:r>
    </w:p>
    <w:p>
      <w:pPr>
        <w:spacing w:after="80" w:before="200"/>
        <w:jc w:val="left"/>
      </w:pPr>
      <w:r>
        <w:rPr>
          <w:rFonts w:ascii="Times New Roman" w:cs="Times New Roman" w:eastAsia="Times New Roman" w:hAnsi="Times New Roman"/>
          <w:b/>
          <w:bCs/>
          <w:sz w:val="20"/>
          <w:szCs w:val="20"/>
        </w:rPr>
        <w:t xml:space="preserve">5. PIPELINE ARCHITECTURES AND THE CFA SYSTEM</w:t>
      </w:r>
    </w:p>
    <w:p>
      <w:pPr>
        <w:spacing w:after="60" w:before="160"/>
        <w:jc w:val="left"/>
      </w:pPr>
      <w:r>
        <w:rPr>
          <w:rFonts w:ascii="Times New Roman" w:cs="Times New Roman" w:eastAsia="Times New Roman" w:hAnsi="Times New Roman"/>
          <w:b/>
          <w:bCs/>
          <w:i/>
          <w:iCs/>
          <w:sz w:val="20"/>
          <w:szCs w:val="20"/>
        </w:rPr>
        <w:t xml:space="preserve">5.1 Pipeline Archetypes (Summary)</w:t>
      </w:r>
    </w:p>
    <w:p>
      <w:pPr>
        <w:spacing w:after="60" w:before="100"/>
        <w:jc w:val="center"/>
      </w:pPr>
      <w:r>
        <w:rPr>
          <w:rFonts w:ascii="Times New Roman" w:cs="Times New Roman" w:eastAsia="Times New Roman" w:hAnsi="Times New Roman"/>
          <w:b/>
          <w:bCs/>
          <w:i/>
          <w:iCs/>
          <w:sz w:val="18"/>
          <w:szCs w:val="18"/>
        </w:rPr>
        <w:t xml:space="preserve">Table 1. Pipeline archetypes used to construct the pilot failure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1872"/>
            <w:shd w:fill="CCCCCC" w:color="CCCCCC" w:val="clear"/>
          </w:tcPr>
          <w:p>
            <w:pPr>
              <w:spacing w:after="40" w:before="40"/>
              <w:jc w:val="center"/>
            </w:pPr>
            <w:r>
              <w:rPr>
                <w:rFonts w:ascii="Times New Roman" w:cs="Times New Roman" w:eastAsia="Times New Roman" w:hAnsi="Times New Roman"/>
                <w:b/>
                <w:bCs/>
                <w:sz w:val="18"/>
                <w:szCs w:val="18"/>
              </w:rPr>
              <w:t xml:space="preserve">Archetype</w:t>
            </w:r>
          </w:p>
        </w:tc>
        <w:tc>
          <w:tcPr>
            <w:tcW w:type="dxa" w:w="1872"/>
            <w:shd w:fill="CCCCCC" w:color="CCCCCC" w:val="clear"/>
          </w:tcPr>
          <w:p>
            <w:pPr>
              <w:spacing w:after="40" w:before="40"/>
              <w:jc w:val="center"/>
            </w:pPr>
            <w:r>
              <w:rPr>
                <w:rFonts w:ascii="Times New Roman" w:cs="Times New Roman" w:eastAsia="Times New Roman" w:hAnsi="Times New Roman"/>
                <w:b/>
                <w:bCs/>
                <w:sz w:val="18"/>
                <w:szCs w:val="18"/>
              </w:rPr>
              <w:t xml:space="preserve">Orchestration Style</w:t>
            </w:r>
          </w:p>
        </w:tc>
        <w:tc>
          <w:tcPr>
            <w:tcW w:type="dxa" w:w="1872"/>
            <w:shd w:fill="CCCCCC" w:color="CCCCCC" w:val="clear"/>
          </w:tcPr>
          <w:p>
            <w:pPr>
              <w:spacing w:after="40" w:before="40"/>
              <w:jc w:val="center"/>
            </w:pPr>
            <w:r>
              <w:rPr>
                <w:rFonts w:ascii="Times New Roman" w:cs="Times New Roman" w:eastAsia="Times New Roman" w:hAnsi="Times New Roman"/>
                <w:b/>
                <w:bCs/>
                <w:sz w:val="18"/>
                <w:szCs w:val="18"/>
              </w:rPr>
              <w:t xml:space="preserve">Dominant Failure Mode</w:t>
            </w:r>
          </w:p>
        </w:tc>
        <w:tc>
          <w:tcPr>
            <w:tcW w:type="dxa" w:w="1872"/>
            <w:shd w:fill="CCCCCC" w:color="CCCCCC" w:val="clear"/>
          </w:tcPr>
          <w:p>
            <w:pPr>
              <w:spacing w:after="40" w:before="40"/>
              <w:jc w:val="center"/>
            </w:pPr>
            <w:r>
              <w:rPr>
                <w:rFonts w:ascii="Times New Roman" w:cs="Times New Roman" w:eastAsia="Times New Roman" w:hAnsi="Times New Roman"/>
                <w:b/>
                <w:bCs/>
                <w:sz w:val="18"/>
                <w:szCs w:val="18"/>
              </w:rPr>
              <w:t xml:space="preserve">Roles</w:t>
            </w:r>
          </w:p>
        </w:tc>
        <w:tc>
          <w:tcPr>
            <w:tcW w:type="dxa" w:w="1872"/>
            <w:shd w:fill="CCCCCC" w:color="CCCCCC" w:val="clear"/>
          </w:tcPr>
          <w:p>
            <w:pPr>
              <w:spacing w:after="40" w:before="40"/>
              <w:jc w:val="center"/>
            </w:pPr>
            <w:r>
              <w:rPr>
                <w:rFonts w:ascii="Times New Roman" w:cs="Times New Roman" w:eastAsia="Times New Roman" w:hAnsi="Times New Roman"/>
                <w:b/>
                <w:bCs/>
                <w:sz w:val="18"/>
                <w:szCs w:val="18"/>
              </w:rPr>
              <w:t xml:space="preserve">Source</w:t>
            </w:r>
          </w:p>
        </w:tc>
      </w:tr>
      <w:tr>
        <w:tc>
          <w:tcPr>
            <w:tcW w:type="dxa" w:w="1872"/>
          </w:tcPr>
          <w:p>
            <w:pPr>
              <w:spacing w:after="40" w:before="40"/>
              <w:jc w:val="center"/>
            </w:pPr>
            <w:r>
              <w:rPr>
                <w:rFonts w:ascii="Times New Roman" w:cs="Times New Roman" w:eastAsia="Times New Roman" w:hAnsi="Times New Roman"/>
                <w:b w:val="false"/>
                <w:bCs w:val="false"/>
                <w:sz w:val="18"/>
                <w:szCs w:val="18"/>
              </w:rPr>
              <w:t xml:space="preserve">Sequential SOP</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Waterfall role handoff</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Cascading hallucination</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5 (PM, Arch, PjM, Eng, QA)</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[13]</w:t>
            </w:r>
          </w:p>
        </w:tc>
      </w:tr>
      <w:tr>
        <w:tc>
          <w:tcPr>
            <w:tcW w:type="dxa" w:w="1872"/>
          </w:tcPr>
          <w:p>
            <w:pPr>
              <w:spacing w:after="40" w:before="40"/>
              <w:jc w:val="center"/>
            </w:pPr>
            <w:r>
              <w:rPr>
                <w:rFonts w:ascii="Times New Roman" w:cs="Times New Roman" w:eastAsia="Times New Roman" w:hAnsi="Times New Roman"/>
                <w:b w:val="false"/>
                <w:bCs w:val="false"/>
                <w:sz w:val="18"/>
                <w:szCs w:val="18"/>
              </w:rPr>
              <w:t xml:space="preserve">Multi-agent chat</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Turn-based loop</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Infinite-loop non-termination</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2–6</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[12]</w:t>
            </w:r>
          </w:p>
        </w:tc>
      </w:tr>
      <w:tr>
        <w:tc>
          <w:tcPr>
            <w:tcW w:type="dxa" w:w="1872"/>
          </w:tcPr>
          <w:p>
            <w:pPr>
              <w:spacing w:after="40" w:before="40"/>
              <w:jc w:val="center"/>
            </w:pPr>
            <w:r>
              <w:rPr>
                <w:rFonts w:ascii="Times New Roman" w:cs="Times New Roman" w:eastAsia="Times New Roman" w:hAnsi="Times New Roman"/>
                <w:b w:val="false"/>
                <w:bCs w:val="false"/>
                <w:sz w:val="18"/>
                <w:szCs w:val="18"/>
              </w:rPr>
              <w:t xml:space="preserve">Single-agent ReAct</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Thought–action–obs</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Shallow planning</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1 (baseline)</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[6]</w:t>
            </w:r>
          </w:p>
        </w:tc>
      </w:tr>
      <w:tr>
        <w:tc>
          <w:tcPr>
            <w:tcW w:type="dxa" w:w="1872"/>
          </w:tcPr>
          <w:p>
            <w:pPr>
              <w:spacing w:after="40" w:before="40"/>
              <w:jc w:val="center"/>
            </w:pPr>
            <w:r>
              <w:rPr>
                <w:rFonts w:ascii="Times New Roman" w:cs="Times New Roman" w:eastAsia="Times New Roman" w:hAnsi="Times New Roman"/>
                <w:b w:val="false"/>
                <w:bCs w:val="false"/>
                <w:sz w:val="18"/>
                <w:szCs w:val="18"/>
              </w:rPr>
              <w:t xml:space="preserve">Repository-editing</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ACI tool loop</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Mislocalized edits</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1 orch + tool exec</w:t>
            </w:r>
          </w:p>
        </w:tc>
        <w:tc>
          <w:tcPr>
            <w:tcW w:type="dxa" w:w="1872"/>
          </w:tcPr>
          <w:p>
            <w:pPr>
              <w:spacing w:after="40" w:before="40"/>
              <w:jc w:val="center"/>
            </w:pPr>
            <w:r>
              <w:rPr>
                <w:rFonts w:ascii="Times New Roman" w:cs="Times New Roman" w:eastAsia="Times New Roman" w:hAnsi="Times New Roman"/>
                <w:b w:val="false"/>
                <w:bCs w:val="false"/>
                <w:sz w:val="18"/>
                <w:szCs w:val="18"/>
              </w:rPr>
              <w:t xml:space="preserve">[17]</w:t>
            </w:r>
          </w:p>
        </w:tc>
      </w:tr>
    </w:tbl>
    <w:p>
      <w:pPr>
        <w:spacing w:after="120"/>
      </w:pPr>
    </w:p>
    <w:p>
      <w:pPr>
        <w:spacing w:after="60" w:before="160"/>
        <w:jc w:val="left"/>
      </w:pPr>
      <w:r>
        <w:rPr>
          <w:rFonts w:ascii="Times New Roman" w:cs="Times New Roman" w:eastAsia="Times New Roman" w:hAnsi="Times New Roman"/>
          <w:b/>
          <w:bCs/>
          <w:i/>
          <w:iCs/>
          <w:sz w:val="20"/>
          <w:szCs w:val="20"/>
        </w:rPr>
        <w:t xml:space="preserve">5.2 The CFA Reference Architecture</w:t>
      </w:r>
    </w:p>
    <w:p>
      <w:pPr>
        <w:spacing w:after="100" w:line="240"/>
        <w:ind w:firstLine="360"/>
        <w:jc w:val="both"/>
      </w:pPr>
      <w:r>
        <w:rPr>
          <w:rFonts w:ascii="Times New Roman" w:cs="Times New Roman" w:eastAsia="Times New Roman" w:hAnsi="Times New Roman"/>
          <w:sz w:val="20"/>
          <w:szCs w:val="20"/>
        </w:rPr>
        <w:t xml:space="preserve">The CFA reference architecture consists of four components layered on top of any pipeline archetype:</w:t>
      </w:r>
    </w:p>
    <w:p>
      <w:pPr>
        <w:spacing w:after="100" w:line="240"/>
        <w:ind w:firstLine="360"/>
        <w:jc w:val="both"/>
      </w:pPr>
      <w:r>
        <w:rPr>
          <w:rFonts w:ascii="Times New Roman" w:cs="Times New Roman" w:eastAsia="Times New Roman" w:hAnsi="Times New Roman"/>
          <w:b/>
          <w:bCs/>
          <w:i/>
          <w:iCs/>
          <w:sz w:val="20"/>
          <w:szCs w:val="20"/>
        </w:rPr>
        <w:t xml:space="preserve">Checkpointing Layer. </w:t>
      </w:r>
      <w:r>
        <w:rPr>
          <w:rFonts w:ascii="Times New Roman" w:cs="Times New Roman" w:eastAsia="Times New Roman" w:hAnsi="Times New Roman"/>
          <w:sz w:val="20"/>
          <w:szCs w:val="20"/>
        </w:rPr>
        <w:t xml:space="preserve">After every agent handoff, the layer serializes agent state—accumulated message history, tool outputs consumed, and emitted output—into a content-addressed snapshot. Granularity is configurable: coarse (per agent role) or fine (per tool call).</w:t>
      </w:r>
    </w:p>
    <w:p>
      <w:pPr>
        <w:spacing w:after="100" w:line="240"/>
        <w:ind w:firstLine="360"/>
        <w:jc w:val="both"/>
      </w:pPr>
      <w:r>
        <w:rPr>
          <w:rFonts w:ascii="Times New Roman" w:cs="Times New Roman" w:eastAsia="Times New Roman" w:hAnsi="Times New Roman"/>
          <w:b/>
          <w:bCs/>
          <w:i/>
          <w:iCs/>
          <w:sz w:val="20"/>
          <w:szCs w:val="20"/>
        </w:rPr>
        <w:t xml:space="preserve">Perturbation/Replay Engine. </w:t>
      </w:r>
      <w:r>
        <w:rPr>
          <w:rFonts w:ascii="Times New Roman" w:cs="Times New Roman" w:eastAsia="Times New Roman" w:hAnsi="Times New Roman"/>
          <w:sz w:val="20"/>
          <w:szCs w:val="20"/>
        </w:rPr>
        <w:t xml:space="preserve">Given a failing trace and checkpoint i, the engine substitutes the original output with an alternative from a ground-truth reference (when the benchmark supplies one) or a sample from a stronger reference model. It then re-executes all downstream agents from checkpoint i+1 onward.</w:t>
      </w:r>
    </w:p>
    <w:p>
      <w:pPr>
        <w:spacing w:after="100" w:line="240"/>
        <w:ind w:firstLine="360"/>
        <w:jc w:val="both"/>
      </w:pPr>
      <w:r>
        <w:rPr>
          <w:rFonts w:ascii="Times New Roman" w:cs="Times New Roman" w:eastAsia="Times New Roman" w:hAnsi="Times New Roman"/>
          <w:b/>
          <w:bCs/>
          <w:i/>
          <w:iCs/>
          <w:sz w:val="20"/>
          <w:szCs w:val="20"/>
        </w:rPr>
        <w:t xml:space="preserve">Causal Attribution Scorer. </w:t>
      </w:r>
      <w:r>
        <w:rPr>
          <w:rFonts w:ascii="Times New Roman" w:cs="Times New Roman" w:eastAsia="Times New Roman" w:hAnsi="Times New Roman"/>
          <w:sz w:val="20"/>
          <w:szCs w:val="20"/>
        </w:rPr>
        <w:t xml:space="preserve">For each checkpoint i, the scorer computes CRS(i), defined as the change in task-success probability between the original failing trace and the counterfactual replay. CRS(i) is aggregated across repeated replays, and both mean and variance are retained.</w:t>
      </w:r>
    </w:p>
    <w:p>
      <w:pPr>
        <w:spacing w:after="100" w:line="240"/>
        <w:ind w:firstLine="360"/>
        <w:jc w:val="both"/>
      </w:pPr>
      <w:r>
        <w:rPr>
          <w:rFonts w:ascii="Times New Roman" w:cs="Times New Roman" w:eastAsia="Times New Roman" w:hAnsi="Times New Roman"/>
          <w:b/>
          <w:bCs/>
          <w:i/>
          <w:iCs/>
          <w:sz w:val="20"/>
          <w:szCs w:val="20"/>
        </w:rPr>
        <w:t xml:space="preserve">Visualization Dashboard. </w:t>
      </w:r>
      <w:r>
        <w:rPr>
          <w:rFonts w:ascii="Times New Roman" w:cs="Times New Roman" w:eastAsia="Times New Roman" w:hAnsi="Times New Roman"/>
          <w:sz w:val="20"/>
          <w:szCs w:val="20"/>
        </w:rPr>
        <w:t xml:space="preserve">The dashboard renders the pipeline as a directed acyclic graph with each node colored by its CRS, producing a heat-map overlay analogous to suspiciousness coloring in spectrum-based fault localization [22], but computed causally through intervention rather than statistical correlation.</w:t>
      </w:r>
    </w:p>
    <w:p>
      <w:pPr>
        <w:spacing w:after="60" w:before="160"/>
        <w:jc w:val="left"/>
      </w:pPr>
      <w:r>
        <w:rPr>
          <w:rFonts w:ascii="Times New Roman" w:cs="Times New Roman" w:eastAsia="Times New Roman" w:hAnsi="Times New Roman"/>
          <w:b/>
          <w:bCs/>
          <w:i/>
          <w:iCs/>
          <w:sz w:val="20"/>
          <w:szCs w:val="20"/>
        </w:rPr>
        <w:t xml:space="preserve">5.3 Causal Responsibility Score: Formalization</w:t>
      </w:r>
    </w:p>
    <w:p>
      <w:pPr>
        <w:spacing w:after="100" w:line="240"/>
        <w:ind w:firstLine="360"/>
        <w:jc w:val="both"/>
      </w:pPr>
      <w:r>
        <w:rPr>
          <w:rFonts w:ascii="Times New Roman" w:cs="Times New Roman" w:eastAsia="Times New Roman" w:hAnsi="Times New Roman"/>
          <w:sz w:val="20"/>
          <w:szCs w:val="20"/>
        </w:rPr>
        <w:t xml:space="preserve">Let a pipeline trace be a sequence of checkpoints c₁, …, cₙ produced by agents A₁, …, Aₙ, and let S(trace) ∈ [0,1] denote a task-success score. Given a failing trace T with S(T) low, and a corrected alternative cᵢ’ for checkpoint i, let Tᵢ’ denote the counterfactual trace obtained by substituting cᵢ’ and re-executing Aᵢ₊₁, …, Aₙ unmodified. We define:</w:t>
      </w:r>
    </w:p>
    <w:p>
      <w:pPr>
        <w:spacing w:after="80" w:before="80"/>
        <w:jc w:val="center"/>
      </w:pPr>
      <w:r>
        <w:rPr>
          <w:rFonts w:ascii="Times New Roman" w:cs="Times New Roman" w:eastAsia="Times New Roman" w:hAnsi="Times New Roman"/>
          <w:b/>
          <w:bCs/>
          <w:i/>
          <w:iCs/>
          <w:sz w:val="20"/>
          <w:szCs w:val="20"/>
        </w:rPr>
        <w:t xml:space="preserve">CRS(i) = E[S(Tᵢ’)] − S(T)</w:t>
      </w:r>
    </w:p>
    <w:p>
      <w:pPr>
        <w:spacing w:after="100" w:line="240"/>
        <w:ind w:firstLine="360"/>
        <w:jc w:val="both"/>
      </w:pPr>
      <w:r>
        <w:rPr>
          <w:rFonts w:ascii="Times New Roman" w:cs="Times New Roman" w:eastAsia="Times New Roman" w:hAnsi="Times New Roman"/>
          <w:sz w:val="20"/>
          <w:szCs w:val="20"/>
        </w:rPr>
        <w:t xml:space="preserve">averaged over m repeated counterfactual replays to control for sampling variance. The checkpoint with the highest CRS is reported as the causally responsible step, and Precision@k evaluates whether the true cause falls within the top-k ranked checkpoints.</w:t>
      </w:r>
    </w:p>
    <w:p>
      <w:pPr>
        <w:spacing w:after="80" w:before="200"/>
        <w:jc w:val="left"/>
      </w:pPr>
      <w:r>
        <w:rPr>
          <w:rFonts w:ascii="Times New Roman" w:cs="Times New Roman" w:eastAsia="Times New Roman" w:hAnsi="Times New Roman"/>
          <w:b/>
          <w:bCs/>
          <w:sz w:val="20"/>
          <w:szCs w:val="20"/>
        </w:rPr>
        <w:t xml:space="preserve">6. EXPERIMENTAL RESULTS</w:t>
      </w:r>
    </w:p>
    <w:p>
      <w:pPr>
        <w:spacing w:after="60" w:before="160"/>
        <w:jc w:val="left"/>
      </w:pPr>
      <w:r>
        <w:rPr>
          <w:rFonts w:ascii="Times New Roman" w:cs="Times New Roman" w:eastAsia="Times New Roman" w:hAnsi="Times New Roman"/>
          <w:b/>
          <w:bCs/>
          <w:i/>
          <w:iCs/>
          <w:sz w:val="20"/>
          <w:szCs w:val="20"/>
        </w:rPr>
        <w:t xml:space="preserve">6.1 Pilot Corpus and Annotation</w:t>
      </w:r>
    </w:p>
    <w:p>
      <w:pPr>
        <w:spacing w:after="100" w:line="240"/>
        <w:ind w:firstLine="360"/>
        <w:jc w:val="both"/>
      </w:pPr>
      <w:r>
        <w:rPr>
          <w:rFonts w:ascii="Times New Roman" w:cs="Times New Roman" w:eastAsia="Times New Roman" w:hAnsi="Times New Roman"/>
          <w:sz w:val="20"/>
          <w:szCs w:val="20"/>
        </w:rPr>
        <w:t xml:space="preserve">We curated 90 failing traces: 50 from repository-editing (SWE-agent-style) pipelines on SWE-bench instances [16, 17], and 40 from conversable/ReAct-style browsing pipelines on WebArena instances [6, 18]. Two annotators independently labeled the single checkpoint causally responsible for each failure; a third adjudicated disagreements. Inter-annotator agreement was substantial (Cohen’s κ = 0.71), consistent with the expectation that causal responsibility, while not always unambiguous, is usually identifiable from a full trace review.</w:t>
      </w:r>
    </w:p>
    <w:p>
      <w:pPr>
        <w:spacing w:after="60" w:before="160"/>
        <w:jc w:val="left"/>
      </w:pPr>
      <w:r>
        <w:rPr>
          <w:rFonts w:ascii="Times New Roman" w:cs="Times New Roman" w:eastAsia="Times New Roman" w:hAnsi="Times New Roman"/>
          <w:b/>
          <w:bCs/>
          <w:i/>
          <w:iCs/>
          <w:sz w:val="20"/>
          <w:szCs w:val="20"/>
        </w:rPr>
        <w:t xml:space="preserve">6.2 Attribution Accuracy</w:t>
      </w:r>
    </w:p>
    <w:p>
      <w:pPr>
        <w:spacing w:after="60" w:before="100"/>
        <w:jc w:val="center"/>
      </w:pPr>
      <w:r>
        <w:rPr>
          <w:rFonts w:ascii="Times New Roman" w:cs="Times New Roman" w:eastAsia="Times New Roman" w:hAnsi="Times New Roman"/>
          <w:b/>
          <w:bCs/>
          <w:i/>
          <w:iCs/>
          <w:sz w:val="18"/>
          <w:szCs w:val="18"/>
        </w:rPr>
        <w:t xml:space="preserve">Table 2. Attribution accuracy on the 90-case pilot corpus (higher precision and lower MLD are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1600"/>
        <w:gridCol w:w="2600"/>
      </w:tblGrid>
      <w:tr>
        <w:tc>
          <w:tcPr>
            <w:tcW w:type="dxa" w:w="2340"/>
            <w:shd w:fill="CCCCCC" w:color="CCCCCC" w:val="clear"/>
          </w:tcPr>
          <w:p>
            <w:pPr>
              <w:spacing w:after="40" w:before="40"/>
              <w:jc w:val="center"/>
            </w:pPr>
            <w:r>
              <w:rPr>
                <w:rFonts w:ascii="Times New Roman" w:cs="Times New Roman" w:eastAsia="Times New Roman" w:hAnsi="Times New Roman"/>
                <w:b/>
                <w:bCs/>
                <w:sz w:val="18"/>
                <w:szCs w:val="18"/>
              </w:rPr>
              <w:t xml:space="preserve">Method</w:t>
            </w:r>
          </w:p>
        </w:tc>
        <w:tc>
          <w:tcPr>
            <w:tcW w:type="dxa" w:w="2340"/>
            <w:shd w:fill="CCCCCC" w:color="CCCCCC" w:val="clear"/>
          </w:tcPr>
          <w:p>
            <w:pPr>
              <w:spacing w:after="40" w:before="40"/>
              <w:jc w:val="center"/>
            </w:pPr>
            <w:r>
              <w:rPr>
                <w:rFonts w:ascii="Times New Roman" w:cs="Times New Roman" w:eastAsia="Times New Roman" w:hAnsi="Times New Roman"/>
                <w:b/>
                <w:bCs/>
                <w:sz w:val="18"/>
                <w:szCs w:val="18"/>
              </w:rPr>
              <w:t xml:space="preserve">Precision@1</w:t>
            </w:r>
          </w:p>
        </w:tc>
        <w:tc>
          <w:tcPr>
            <w:tcW w:type="dxa" w:w="2340"/>
            <w:shd w:fill="CCCCCC" w:color="CCCCCC" w:val="clear"/>
          </w:tcPr>
          <w:p>
            <w:pPr>
              <w:spacing w:after="40" w:before="40"/>
              <w:jc w:val="center"/>
            </w:pPr>
            <w:r>
              <w:rPr>
                <w:rFonts w:ascii="Times New Roman" w:cs="Times New Roman" w:eastAsia="Times New Roman" w:hAnsi="Times New Roman"/>
                <w:b/>
                <w:bCs/>
                <w:sz w:val="18"/>
                <w:szCs w:val="18"/>
              </w:rPr>
              <w:t xml:space="preserve">Precision@2</w:t>
            </w:r>
          </w:p>
        </w:tc>
        <w:tc>
          <w:tcPr>
            <w:tcW w:type="dxa" w:w="2340"/>
            <w:shd w:fill="CCCCCC" w:color="CCCCCC" w:val="clear"/>
          </w:tcPr>
          <w:p>
            <w:pPr>
              <w:spacing w:after="40" w:before="40"/>
              <w:jc w:val="center"/>
            </w:pPr>
            <w:r>
              <w:rPr>
                <w:rFonts w:ascii="Times New Roman" w:cs="Times New Roman" w:eastAsia="Times New Roman" w:hAnsi="Times New Roman"/>
                <w:b/>
                <w:bCs/>
                <w:sz w:val="18"/>
                <w:szCs w:val="18"/>
              </w:rPr>
              <w:t xml:space="preserve">Mean Loc. Distance (steps)</w:t>
            </w:r>
          </w:p>
        </w:tc>
      </w:tr>
      <w:tr>
        <w:tc>
          <w:tcPr>
            <w:tcW w:type="dxa" w:w="2340"/>
          </w:tcPr>
          <w:p>
            <w:pPr>
              <w:spacing w:after="40" w:before="40"/>
              <w:jc w:val="center"/>
            </w:pPr>
            <w:r>
              <w:rPr>
                <w:rFonts w:ascii="Times New Roman" w:cs="Times New Roman" w:eastAsia="Times New Roman" w:hAnsi="Times New Roman"/>
                <w:b w:val="false"/>
                <w:bCs w:val="false"/>
                <w:sz w:val="18"/>
                <w:szCs w:val="18"/>
              </w:rPr>
              <w:t xml:space="preserve">Uniform / random attribution</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0.18</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0.33</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2.6</w:t>
            </w:r>
          </w:p>
        </w:tc>
      </w:tr>
      <w:tr>
        <w:tc>
          <w:tcPr>
            <w:tcW w:type="dxa" w:w="2340"/>
          </w:tcPr>
          <w:p>
            <w:pPr>
              <w:spacing w:after="40" w:before="40"/>
              <w:jc w:val="center"/>
            </w:pPr>
            <w:r>
              <w:rPr>
                <w:rFonts w:ascii="Times New Roman" w:cs="Times New Roman" w:eastAsia="Times New Roman" w:hAnsi="Times New Roman"/>
                <w:b w:val="false"/>
                <w:bCs w:val="false"/>
                <w:sz w:val="18"/>
                <w:szCs w:val="18"/>
              </w:rPr>
              <w:t xml:space="preserve">Last-agent heuristic</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0.31</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0.44</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1.8</w:t>
            </w:r>
          </w:p>
        </w:tc>
      </w:tr>
      <w:tr>
        <w:tc>
          <w:tcPr>
            <w:tcW w:type="dxa" w:w="2340"/>
          </w:tcPr>
          <w:p>
            <w:pPr>
              <w:spacing w:after="40" w:before="40"/>
              <w:jc w:val="center"/>
            </w:pPr>
            <w:r>
              <w:rPr>
                <w:rFonts w:ascii="Times New Roman" w:cs="Times New Roman" w:eastAsia="Times New Roman" w:hAnsi="Times New Roman"/>
                <w:b w:val="false"/>
                <w:bCs w:val="false"/>
                <w:sz w:val="18"/>
                <w:szCs w:val="18"/>
              </w:rPr>
              <w:t xml:space="preserve">CFA — stronger-model perturbation</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0.63</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0.79</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0.6</w:t>
            </w:r>
          </w:p>
        </w:tc>
      </w:tr>
      <w:tr>
        <w:tc>
          <w:tcPr>
            <w:tcW w:type="dxa" w:w="2340"/>
          </w:tcPr>
          <w:p>
            <w:pPr>
              <w:spacing w:after="40" w:before="40"/>
              <w:jc w:val="center"/>
            </w:pPr>
            <w:r>
              <w:rPr>
                <w:rFonts w:ascii="Times New Roman" w:cs="Times New Roman" w:eastAsia="Times New Roman" w:hAnsi="Times New Roman"/>
                <w:b w:val="false"/>
                <w:bCs w:val="false"/>
                <w:sz w:val="18"/>
                <w:szCs w:val="18"/>
              </w:rPr>
              <w:t xml:space="preserve">CFA — ground-truth perturbation</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0.71</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0.86</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0.4</w:t>
            </w:r>
          </w:p>
        </w:tc>
      </w:tr>
    </w:tbl>
    <w:p>
      <w:pPr>
        <w:spacing w:after="120"/>
      </w:pPr>
    </w:p>
    <w:p>
      <w:pPr>
        <w:spacing w:after="100" w:line="240"/>
        <w:ind w:firstLine="360"/>
        <w:jc w:val="both"/>
      </w:pPr>
      <w:r>
        <w:rPr>
          <w:rFonts w:ascii="Times New Roman" w:cs="Times New Roman" w:eastAsia="Times New Roman" w:hAnsi="Times New Roman"/>
          <w:sz w:val="20"/>
          <w:szCs w:val="20"/>
        </w:rPr>
        <w:t xml:space="preserve">CFA with ground-truth perturbation attains the highest Precision@1 (0.71) and Precision@2 (0.86) and the lowest MLD (0.4 steps), followed by CFA with stronger-model perturbation; both variants substantially outperform the two heuristic baselines.</w:t>
      </w:r>
    </w:p>
    <w:p>
      <w:pPr>
        <w:spacing w:after="60" w:before="160"/>
        <w:jc w:val="left"/>
      </w:pPr>
      <w:r>
        <w:rPr>
          <w:rFonts w:ascii="Times New Roman" w:cs="Times New Roman" w:eastAsia="Times New Roman" w:hAnsi="Times New Roman"/>
          <w:b/>
          <w:bCs/>
          <w:i/>
          <w:iCs/>
          <w:sz w:val="20"/>
          <w:szCs w:val="20"/>
        </w:rPr>
        <w:t xml:space="preserve">6.3 Efficiency and Developer Time</w:t>
      </w:r>
    </w:p>
    <w:p>
      <w:pPr>
        <w:spacing w:after="60" w:before="100"/>
        <w:jc w:val="center"/>
      </w:pPr>
      <w:r>
        <w:rPr>
          <w:rFonts w:ascii="Times New Roman" w:cs="Times New Roman" w:eastAsia="Times New Roman" w:hAnsi="Times New Roman"/>
          <w:b/>
          <w:bCs/>
          <w:i/>
          <w:iCs/>
          <w:sz w:val="18"/>
          <w:szCs w:val="18"/>
        </w:rPr>
        <w:t xml:space="preserve">Table 3. Developer debugging time and replay-cost overhead, relative to a single pipeline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2000"/>
        <w:gridCol w:w="2260"/>
      </w:tblGrid>
      <w:tr>
        <w:tc>
          <w:tcPr>
            <w:tcW w:type="dxa" w:w="2340"/>
            <w:shd w:fill="CCCCCC" w:color="CCCCCC" w:val="clear"/>
          </w:tcPr>
          <w:p>
            <w:pPr>
              <w:spacing w:after="40" w:before="40"/>
              <w:jc w:val="center"/>
            </w:pPr>
            <w:r>
              <w:rPr>
                <w:rFonts w:ascii="Times New Roman" w:cs="Times New Roman" w:eastAsia="Times New Roman" w:hAnsi="Times New Roman"/>
                <w:b/>
                <w:bCs/>
                <w:sz w:val="18"/>
                <w:szCs w:val="18"/>
              </w:rPr>
              <w:t xml:space="preserve">Method</w:t>
            </w:r>
          </w:p>
        </w:tc>
        <w:tc>
          <w:tcPr>
            <w:tcW w:type="dxa" w:w="2340"/>
            <w:shd w:fill="CCCCCC" w:color="CCCCCC" w:val="clear"/>
          </w:tcPr>
          <w:p>
            <w:pPr>
              <w:spacing w:after="40" w:before="40"/>
              <w:jc w:val="center"/>
            </w:pPr>
            <w:r>
              <w:rPr>
                <w:rFonts w:ascii="Times New Roman" w:cs="Times New Roman" w:eastAsia="Times New Roman" w:hAnsi="Times New Roman"/>
                <w:b/>
                <w:bCs/>
                <w:sz w:val="18"/>
                <w:szCs w:val="18"/>
              </w:rPr>
              <w:t xml:space="preserve">Median Debug Time (min)</w:t>
            </w:r>
          </w:p>
        </w:tc>
        <w:tc>
          <w:tcPr>
            <w:tcW w:type="dxa" w:w="2340"/>
            <w:shd w:fill="CCCCCC" w:color="CCCCCC" w:val="clear"/>
          </w:tcPr>
          <w:p>
            <w:pPr>
              <w:spacing w:after="40" w:before="40"/>
              <w:jc w:val="center"/>
            </w:pPr>
            <w:r>
              <w:rPr>
                <w:rFonts w:ascii="Times New Roman" w:cs="Times New Roman" w:eastAsia="Times New Roman" w:hAnsi="Times New Roman"/>
                <w:b/>
                <w:bCs/>
                <w:sz w:val="18"/>
                <w:szCs w:val="18"/>
              </w:rPr>
              <w:t xml:space="preserve">Additional LLM Calls</w:t>
            </w:r>
          </w:p>
        </w:tc>
        <w:tc>
          <w:tcPr>
            <w:tcW w:type="dxa" w:w="2340"/>
            <w:shd w:fill="CCCCCC" w:color="CCCCCC" w:val="clear"/>
          </w:tcPr>
          <w:p>
            <w:pPr>
              <w:spacing w:after="40" w:before="40"/>
              <w:jc w:val="center"/>
            </w:pPr>
            <w:r>
              <w:rPr>
                <w:rFonts w:ascii="Times New Roman" w:cs="Times New Roman" w:eastAsia="Times New Roman" w:hAnsi="Times New Roman"/>
                <w:b/>
                <w:bCs/>
                <w:sz w:val="18"/>
                <w:szCs w:val="18"/>
              </w:rPr>
              <w:t xml:space="preserve">Token Cost (× baseline)</w:t>
            </w:r>
          </w:p>
        </w:tc>
      </w:tr>
      <w:tr>
        <w:tc>
          <w:tcPr>
            <w:tcW w:type="dxa" w:w="2340"/>
          </w:tcPr>
          <w:p>
            <w:pPr>
              <w:spacing w:after="40" w:before="40"/>
              <w:jc w:val="center"/>
            </w:pPr>
            <w:r>
              <w:rPr>
                <w:rFonts w:ascii="Times New Roman" w:cs="Times New Roman" w:eastAsia="Times New Roman" w:hAnsi="Times New Roman"/>
                <w:b w:val="false"/>
                <w:bCs w:val="false"/>
                <w:sz w:val="18"/>
                <w:szCs w:val="18"/>
              </w:rPr>
              <w:t xml:space="preserve">Manual log inspection</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24.5</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0</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1.0×</w:t>
            </w:r>
          </w:p>
        </w:tc>
      </w:tr>
      <w:tr>
        <w:tc>
          <w:tcPr>
            <w:tcW w:type="dxa" w:w="2340"/>
          </w:tcPr>
          <w:p>
            <w:pPr>
              <w:spacing w:after="40" w:before="40"/>
              <w:jc w:val="center"/>
            </w:pPr>
            <w:r>
              <w:rPr>
                <w:rFonts w:ascii="Times New Roman" w:cs="Times New Roman" w:eastAsia="Times New Roman" w:hAnsi="Times New Roman"/>
                <w:b w:val="false"/>
                <w:bCs w:val="false"/>
                <w:sz w:val="18"/>
                <w:szCs w:val="18"/>
              </w:rPr>
              <w:t xml:space="preserve">CFA — stronger-model</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7.8</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 depth</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 (depth+1)× + premium</w:t>
            </w:r>
          </w:p>
        </w:tc>
      </w:tr>
      <w:tr>
        <w:tc>
          <w:tcPr>
            <w:tcW w:type="dxa" w:w="2340"/>
          </w:tcPr>
          <w:p>
            <w:pPr>
              <w:spacing w:after="40" w:before="40"/>
              <w:jc w:val="center"/>
            </w:pPr>
            <w:r>
              <w:rPr>
                <w:rFonts w:ascii="Times New Roman" w:cs="Times New Roman" w:eastAsia="Times New Roman" w:hAnsi="Times New Roman"/>
                <w:b w:val="false"/>
                <w:bCs w:val="false"/>
                <w:sz w:val="18"/>
                <w:szCs w:val="18"/>
              </w:rPr>
              <w:t xml:space="preserve">CFA — ground-truth</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6.2</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 depth</w:t>
            </w:r>
          </w:p>
        </w:tc>
        <w:tc>
          <w:tcPr>
            <w:tcW w:type="dxa" w:w="2340"/>
          </w:tcPr>
          <w:p>
            <w:pPr>
              <w:spacing w:after="40" w:before="40"/>
              <w:jc w:val="center"/>
            </w:pPr>
            <w:r>
              <w:rPr>
                <w:rFonts w:ascii="Times New Roman" w:cs="Times New Roman" w:eastAsia="Times New Roman" w:hAnsi="Times New Roman"/>
                <w:b w:val="false"/>
                <w:bCs w:val="false"/>
                <w:sz w:val="18"/>
                <w:szCs w:val="18"/>
              </w:rPr>
              <w:t xml:space="preserve">≈ (depth+1)×</w:t>
            </w:r>
          </w:p>
        </w:tc>
      </w:tr>
    </w:tbl>
    <w:p>
      <w:pPr>
        <w:spacing w:after="120"/>
      </w:pPr>
    </w:p>
    <w:p>
      <w:pPr>
        <w:spacing w:after="60" w:before="160"/>
        <w:jc w:val="left"/>
      </w:pPr>
      <w:r>
        <w:rPr>
          <w:rFonts w:ascii="Times New Roman" w:cs="Times New Roman" w:eastAsia="Times New Roman" w:hAnsi="Times New Roman"/>
          <w:b/>
          <w:bCs/>
          <w:i/>
          <w:iCs/>
          <w:sz w:val="20"/>
          <w:szCs w:val="20"/>
        </w:rPr>
        <w:t xml:space="preserve">6.4 Checkpoint Granularity and Non-Determinism</w:t>
      </w:r>
    </w:p>
    <w:p>
      <w:pPr>
        <w:spacing w:after="100" w:line="240"/>
        <w:ind w:firstLine="360"/>
        <w:jc w:val="both"/>
      </w:pPr>
      <w:r>
        <w:rPr>
          <w:rFonts w:ascii="Times New Roman" w:cs="Times New Roman" w:eastAsia="Times New Roman" w:hAnsi="Times New Roman"/>
          <w:sz w:val="20"/>
          <w:szCs w:val="20"/>
        </w:rPr>
        <w:t xml:space="preserve">Moving from coarse (per-agent-role) to fine (per-tool-call) checkpointing improved MLD by roughly 40% in the repository-editing archetype, but increased replay calls linearly with pipeline depth. We recommend defaulting to coarse checkpoints and escalating to fine-grained checkpoints only when the top-2 CRS scores are within a small margin. Repeating each counterfactual replay five times at temperature 0.7 vs. one deterministic replay at 0.0 showed that CRS rank ordering is far more stable than raw magnitude; we recommend treating CRS as an ordinal signal and averaging over at least three replays. Approximately 14% of the pilot corpus showed genuinely multi-causal failures where no single-checkpoint substitution was sufficient—evidence that single-step perturbation search under-detects joint causes.</w:t>
      </w:r>
    </w:p>
    <w:p>
      <w:pPr>
        <w:spacing w:after="80" w:before="200"/>
        <w:jc w:val="left"/>
      </w:pPr>
      <w:r>
        <w:rPr>
          <w:rFonts w:ascii="Times New Roman" w:cs="Times New Roman" w:eastAsia="Times New Roman" w:hAnsi="Times New Roman"/>
          <w:b/>
          <w:bCs/>
          <w:sz w:val="20"/>
          <w:szCs w:val="20"/>
        </w:rPr>
        <w:t xml:space="preserve">7. DISCUSSION AND ANALYSIS</w:t>
      </w:r>
    </w:p>
    <w:p>
      <w:pPr>
        <w:spacing w:after="100" w:line="240"/>
        <w:ind w:firstLine="360"/>
        <w:jc w:val="both"/>
      </w:pPr>
      <w:r>
        <w:rPr>
          <w:rFonts w:ascii="Times New Roman" w:cs="Times New Roman" w:eastAsia="Times New Roman" w:hAnsi="Times New Roman"/>
          <w:sz w:val="20"/>
          <w:szCs w:val="20"/>
        </w:rPr>
        <w:t xml:space="preserve">On </w:t>
      </w: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counterfactual replay isolates the causally responsible step with substantially higher precision than either heuristic baseline (Precision@1: 0.71 vs. 0.31 for last-agent), confirming that treating multi-agent debugging as a counterfactual rather than correlational problem is worthwhile. On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ground-truth perturbation outperforms stronger-model perturbation (0.71 vs. 0.63 Precision@1) because it removes ambiguity about what a corrected output should look like; however, ground truth is available only for benchmark tasks or previously resolved incidents, so the practically deployable production mode will typically use stronger-model perturbation (Precision@1 = 0.63). On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dashboard-assisted review reduced median localization time from 24.5 to 6.2 minutes, though this result should be treated cautiously given the small sample.</w:t>
      </w:r>
    </w:p>
    <w:p>
      <w:pPr>
        <w:spacing w:after="100" w:line="240"/>
        <w:ind w:firstLine="360"/>
        <w:jc w:val="both"/>
      </w:pPr>
      <w:r>
        <w:rPr>
          <w:rFonts w:ascii="Times New Roman" w:cs="Times New Roman" w:eastAsia="Times New Roman" w:hAnsi="Times New Roman"/>
          <w:sz w:val="20"/>
          <w:szCs w:val="20"/>
        </w:rPr>
        <w:t xml:space="preserve">The checkpoint-granularity trade-off is a restatement of the classical fault-localization trade-off between coverage granularity and diagnostic cost [22], transplanted into a setting where the program is a chain of LLM calls. CFA’s most valuable use case is cascading hallucination—the failure mode that frameworks such as MetaGPT [13] already try to reduce at design time; CFA is best understood as a complementary runtime diagnostic layer for residual failures that design-time mitigations do not eliminate.</w:t>
      </w:r>
    </w:p>
    <w:p>
      <w:pPr>
        <w:spacing w:after="80" w:before="200"/>
        <w:jc w:val="left"/>
      </w:pPr>
      <w:r>
        <w:rPr>
          <w:rFonts w:ascii="Times New Roman" w:cs="Times New Roman" w:eastAsia="Times New Roman" w:hAnsi="Times New Roman"/>
          <w:b/>
          <w:bCs/>
          <w:sz w:val="20"/>
          <w:szCs w:val="20"/>
        </w:rPr>
        <w:t xml:space="preserve">8. ETHICAL AND ENVIRONMENTAL IMPACT</w:t>
      </w:r>
    </w:p>
    <w:p>
      <w:pPr>
        <w:spacing w:after="100" w:line="240"/>
        <w:ind w:firstLine="360"/>
        <w:jc w:val="both"/>
      </w:pPr>
      <w:r>
        <w:rPr>
          <w:rFonts w:ascii="Times New Roman" w:cs="Times New Roman" w:eastAsia="Times New Roman" w:hAnsi="Times New Roman"/>
          <w:b/>
          <w:bCs/>
          <w:sz w:val="20"/>
          <w:szCs w:val="20"/>
        </w:rPr>
        <w:t xml:space="preserve">Bias and Fairness. </w:t>
      </w:r>
      <w:r>
        <w:rPr>
          <w:rFonts w:ascii="Times New Roman" w:cs="Times New Roman" w:eastAsia="Times New Roman" w:hAnsi="Times New Roman"/>
          <w:sz w:val="20"/>
          <w:szCs w:val="20"/>
        </w:rPr>
        <w:t xml:space="preserve">Assigning blame to a specific agent role carries risks analogous to other forms of algorithmic attribution: a role could be over-blamed due to superficial prompt-template artifacts rather than genuine causal contribution. We recommend auditing attribution stability under paraphrased-but-semantically-equivalent perturbations, adapting fairness-desiderata framing from social-bias research [30] to this role-level setting.</w:t>
      </w:r>
    </w:p>
    <w:p>
      <w:pPr>
        <w:spacing w:after="100" w:line="240"/>
        <w:ind w:firstLine="360"/>
        <w:jc w:val="both"/>
      </w:pPr>
      <w:r>
        <w:rPr>
          <w:rFonts w:ascii="Times New Roman" w:cs="Times New Roman" w:eastAsia="Times New Roman" w:hAnsi="Times New Roman"/>
          <w:b/>
          <w:bCs/>
          <w:sz w:val="20"/>
          <w:szCs w:val="20"/>
        </w:rPr>
        <w:t xml:space="preserve">Energy and Compute Cost. </w:t>
      </w:r>
      <w:r>
        <w:rPr>
          <w:rFonts w:ascii="Times New Roman" w:cs="Times New Roman" w:eastAsia="Times New Roman" w:hAnsi="Times New Roman"/>
          <w:sz w:val="20"/>
          <w:szCs w:val="20"/>
        </w:rPr>
        <w:t xml:space="preserve">Every failure investigated with CFA incurs additional inference calls proportional to pipeline depth. Following the accounting methodology of Strubell et al. [29], we recommend a tiered deployment: cheap heuristics as a first filter, escalating to CFA’s coarse-grained replay only for unresolved or high-severity incidents.</w:t>
      </w:r>
    </w:p>
    <w:p>
      <w:pPr>
        <w:spacing w:after="100" w:line="240"/>
        <w:ind w:firstLine="360"/>
        <w:jc w:val="both"/>
      </w:pPr>
      <w:r>
        <w:rPr>
          <w:rFonts w:ascii="Times New Roman" w:cs="Times New Roman" w:eastAsia="Times New Roman" w:hAnsi="Times New Roman"/>
          <w:b/>
          <w:bCs/>
          <w:sz w:val="20"/>
          <w:szCs w:val="20"/>
        </w:rPr>
        <w:t xml:space="preserve">Responsible Deployment. </w:t>
      </w:r>
      <w:r>
        <w:rPr>
          <w:rFonts w:ascii="Times New Roman" w:cs="Times New Roman" w:eastAsia="Times New Roman" w:hAnsi="Times New Roman"/>
          <w:sz w:val="20"/>
          <w:szCs w:val="20"/>
        </w:rPr>
        <w:t xml:space="preserve">CFA’s output should be treated as decision support for a human developer, not as automated blame adjudication. Any CFA dashboard should expose CRS variance alongside the point ranking, in the spirit of transparent capability and limitation reporting [31].</w:t>
      </w:r>
    </w:p>
    <w:p>
      <w:pPr>
        <w:spacing w:after="80" w:before="200"/>
        <w:jc w:val="left"/>
      </w:pPr>
      <w:r>
        <w:rPr>
          <w:rFonts w:ascii="Times New Roman" w:cs="Times New Roman" w:eastAsia="Times New Roman" w:hAnsi="Times New Roman"/>
          <w:b/>
          <w:bCs/>
          <w:sz w:val="20"/>
          <w:szCs w:val="20"/>
        </w:rPr>
        <w:t xml:space="preserve">9. LIMITATIONS AND FUTURE WORK</w:t>
      </w:r>
    </w:p>
    <w:p>
      <w:pPr>
        <w:spacing w:after="100" w:line="240"/>
        <w:ind w:firstLine="360"/>
        <w:jc w:val="both"/>
      </w:pPr>
      <w:r>
        <w:rPr>
          <w:rFonts w:ascii="Times New Roman" w:cs="Times New Roman" w:eastAsia="Times New Roman" w:hAnsi="Times New Roman"/>
          <w:sz w:val="20"/>
          <w:szCs w:val="20"/>
        </w:rPr>
        <w:t xml:space="preserve">Our pilot corpus of 90 cases is small, drawn from only two benchmarks, and labeled by a small annotator pool; reported figures should be read as evidence of viability rather than settled, generalizable estimates. Replay cost scales with pipeline depth, limiting granularity for very deep pipelines. LLM non-determinism means CRS magnitudes are noisy, and roughly 1-in-7 observed failures were genuinely multi-causal.</w:t>
      </w:r>
    </w:p>
    <w:p>
      <w:pPr>
        <w:spacing w:after="100" w:line="240"/>
        <w:ind w:firstLine="360"/>
        <w:jc w:val="both"/>
      </w:pPr>
      <w:r>
        <w:rPr>
          <w:rFonts w:ascii="Times New Roman" w:cs="Times New Roman" w:eastAsia="Times New Roman" w:hAnsi="Times New Roman"/>
          <w:sz w:val="20"/>
          <w:szCs w:val="20"/>
        </w:rPr>
        <w:t xml:space="preserve">Future work should pursue: (1) budget-bounded combinatorial extension to search small checkpoint subsets jointly; (2) automated patch or prompt-repair suggestion once a causal agent is identified; (3) extension to human-in-the-loop pipelines; (4) application beyond software repair to web navigation [18] and general-assistant tasks [20]; and (5) a larger community-scale benchmark specifically for failure-attribution research.</w:t>
      </w:r>
    </w:p>
    <w:p>
      <w:pPr>
        <w:spacing w:after="80" w:before="200"/>
        <w:jc w:val="left"/>
      </w:pPr>
      <w:r>
        <w:rPr>
          <w:rFonts w:ascii="Times New Roman" w:cs="Times New Roman" w:eastAsia="Times New Roman" w:hAnsi="Times New Roman"/>
          <w:b/>
          <w:bCs/>
          <w:sz w:val="20"/>
          <w:szCs w:val="20"/>
        </w:rPr>
        <w:t xml:space="preserve">10. CONCLUSION</w:t>
      </w:r>
    </w:p>
    <w:p>
      <w:pPr>
        <w:spacing w:after="100" w:line="240"/>
        <w:ind w:firstLine="360"/>
        <w:jc w:val="both"/>
      </w:pPr>
      <w:r>
        <w:rPr>
          <w:rFonts w:ascii="Times New Roman" w:cs="Times New Roman" w:eastAsia="Times New Roman" w:hAnsi="Times New Roman"/>
          <w:sz w:val="20"/>
          <w:szCs w:val="20"/>
        </w:rPr>
        <w:t xml:space="preserve">As LLM-based systems move from single-turn generation toward deep multi-agent pipelines, the absence of a principled way to attribute failures to their causal sources has become a practical bottleneck for debugging, observability, and trust. This paper introduced Causal Failure Attribution (CFA), which reframes multi-agent debugging as a counterfactual-replay problem: checkpoint agent state after every handoff, substitute a corrected alternative at one checkpoint at a time, re-execute the remainder, and score the resulting change in outcome. Grounded in the literature on transformer-based agents, software fault localization, and causal RCA for distributed systems, and validated on a pilot corpus of 90 human-labeled failures, CFA substantially outperforms last-agent and uniform-attribution heuristics while reducing developer debugging time, at a replay-cost overhead that scales with pipeline depth. We view CFA as a first step toward treating multi-agent LLM pipelines with the same causal rigor that decades of fault-localization research have brought to conventional software and distributed systems.</w:t>
      </w:r>
    </w:p>
    <w:p>
      <w:pPr>
        <w:spacing w:after="80" w:before="200"/>
        <w:jc w:val="left"/>
      </w:pPr>
      <w:r>
        <w:rPr>
          <w:rFonts w:ascii="Times New Roman" w:cs="Times New Roman" w:eastAsia="Times New Roman" w:hAnsi="Times New Roman"/>
          <w:b/>
          <w:bCs/>
          <w:sz w:val="20"/>
          <w:szCs w:val="20"/>
        </w:rPr>
        <w:t xml:space="preserve">REFERENCES</w:t>
      </w:r>
    </w:p>
    <w:p>
      <w:pPr>
        <w:spacing w:after="60"/>
        <w:ind w:left="360" w:hanging="360"/>
        <w:jc w:val="both"/>
      </w:pPr>
      <w:r>
        <w:rPr>
          <w:rFonts w:ascii="Times New Roman" w:cs="Times New Roman" w:eastAsia="Times New Roman" w:hAnsi="Times New Roman"/>
          <w:sz w:val="18"/>
          <w:szCs w:val="18"/>
        </w:rPr>
        <w:t xml:space="preserve">[1] A. Vaswani et al., “Attention is all you need,” arXiv:1706.03762, 2017.</w:t>
      </w:r>
    </w:p>
    <w:p>
      <w:pPr>
        <w:spacing w:after="60"/>
        <w:ind w:left="360" w:hanging="360"/>
        <w:jc w:val="both"/>
      </w:pPr>
      <w:r>
        <w:rPr>
          <w:rFonts w:ascii="Times New Roman" w:cs="Times New Roman" w:eastAsia="Times New Roman" w:hAnsi="Times New Roman"/>
          <w:sz w:val="18"/>
          <w:szCs w:val="18"/>
        </w:rPr>
        <w:t xml:space="preserve">[2] J. Kaplan et al., “Scaling laws for neural language models,” arXiv:2001.08361, 2020.</w:t>
      </w:r>
    </w:p>
    <w:p>
      <w:pPr>
        <w:spacing w:after="60"/>
        <w:ind w:left="360" w:hanging="360"/>
        <w:jc w:val="both"/>
      </w:pPr>
      <w:r>
        <w:rPr>
          <w:rFonts w:ascii="Times New Roman" w:cs="Times New Roman" w:eastAsia="Times New Roman" w:hAnsi="Times New Roman"/>
          <w:sz w:val="18"/>
          <w:szCs w:val="18"/>
        </w:rPr>
        <w:t xml:space="preserve">[3] J. Hoffmann et al., “Training compute-optimal large language models,” arXiv:2203.15556, 2022.</w:t>
      </w:r>
    </w:p>
    <w:p>
      <w:pPr>
        <w:spacing w:after="60"/>
        <w:ind w:left="360" w:hanging="360"/>
        <w:jc w:val="both"/>
      </w:pPr>
      <w:r>
        <w:rPr>
          <w:rFonts w:ascii="Times New Roman" w:cs="Times New Roman" w:eastAsia="Times New Roman" w:hAnsi="Times New Roman"/>
          <w:sz w:val="18"/>
          <w:szCs w:val="18"/>
        </w:rPr>
        <w:t xml:space="preserve">[4] L. Ouyang et al., “Training language models to follow instructions with human feedback,” arXiv:2203.02155, 2022.</w:t>
      </w:r>
    </w:p>
    <w:p>
      <w:pPr>
        <w:spacing w:after="60"/>
        <w:ind w:left="360" w:hanging="360"/>
        <w:jc w:val="both"/>
      </w:pPr>
      <w:r>
        <w:rPr>
          <w:rFonts w:ascii="Times New Roman" w:cs="Times New Roman" w:eastAsia="Times New Roman" w:hAnsi="Times New Roman"/>
          <w:sz w:val="18"/>
          <w:szCs w:val="18"/>
        </w:rPr>
        <w:t xml:space="preserve">[5] J. Wei et al., “Chain-of-thought prompting elicits reasoning in large language models,” arXiv:2201.11903, 2022.</w:t>
      </w:r>
    </w:p>
    <w:p>
      <w:pPr>
        <w:spacing w:after="60"/>
        <w:ind w:left="360" w:hanging="360"/>
        <w:jc w:val="both"/>
      </w:pPr>
      <w:r>
        <w:rPr>
          <w:rFonts w:ascii="Times New Roman" w:cs="Times New Roman" w:eastAsia="Times New Roman" w:hAnsi="Times New Roman"/>
          <w:sz w:val="18"/>
          <w:szCs w:val="18"/>
        </w:rPr>
        <w:t xml:space="preserve">[6] S. Yao et al., “ReAct: Synergizing reasoning and acting in language models,” arXiv:2210.03629, 2023.</w:t>
      </w:r>
    </w:p>
    <w:p>
      <w:pPr>
        <w:spacing w:after="60"/>
        <w:ind w:left="360" w:hanging="360"/>
        <w:jc w:val="both"/>
      </w:pPr>
      <w:r>
        <w:rPr>
          <w:rFonts w:ascii="Times New Roman" w:cs="Times New Roman" w:eastAsia="Times New Roman" w:hAnsi="Times New Roman"/>
          <w:sz w:val="18"/>
          <w:szCs w:val="18"/>
        </w:rPr>
        <w:t xml:space="preserve">[7] T. Schick et al., “Toolformer: Language models can teach themselves to use tools,” arXiv:2302.04761, 2023.</w:t>
      </w:r>
    </w:p>
    <w:p>
      <w:pPr>
        <w:spacing w:after="60"/>
        <w:ind w:left="360" w:hanging="360"/>
        <w:jc w:val="both"/>
      </w:pPr>
      <w:r>
        <w:rPr>
          <w:rFonts w:ascii="Times New Roman" w:cs="Times New Roman" w:eastAsia="Times New Roman" w:hAnsi="Times New Roman"/>
          <w:sz w:val="18"/>
          <w:szCs w:val="18"/>
        </w:rPr>
        <w:t xml:space="preserve">[8] N. Shinn et al., “Reflexion: Language agents with verbal reinforcement learning,” arXiv:2303.11366, 2023.</w:t>
      </w:r>
    </w:p>
    <w:p>
      <w:pPr>
        <w:spacing w:after="60"/>
        <w:ind w:left="360" w:hanging="360"/>
        <w:jc w:val="both"/>
      </w:pPr>
      <w:r>
        <w:rPr>
          <w:rFonts w:ascii="Times New Roman" w:cs="Times New Roman" w:eastAsia="Times New Roman" w:hAnsi="Times New Roman"/>
          <w:sz w:val="18"/>
          <w:szCs w:val="18"/>
        </w:rPr>
        <w:t xml:space="preserve">[9] A. Madaan et al., “Self-Refine: Iterative refinement with self-feedback,” arXiv:2303.17651, 2023.</w:t>
      </w:r>
    </w:p>
    <w:p>
      <w:pPr>
        <w:spacing w:after="60"/>
        <w:ind w:left="360" w:hanging="360"/>
        <w:jc w:val="both"/>
      </w:pPr>
      <w:r>
        <w:rPr>
          <w:rFonts w:ascii="Times New Roman" w:cs="Times New Roman" w:eastAsia="Times New Roman" w:hAnsi="Times New Roman"/>
          <w:sz w:val="18"/>
          <w:szCs w:val="18"/>
        </w:rPr>
        <w:t xml:space="preserve">[10] J. Huang et al., “Large language models cannot self-correct reasoning yet,” arXiv:2310.01798, 2023.</w:t>
      </w:r>
    </w:p>
    <w:p>
      <w:pPr>
        <w:spacing w:after="60"/>
        <w:ind w:left="360" w:hanging="360"/>
        <w:jc w:val="both"/>
      </w:pPr>
      <w:r>
        <w:rPr>
          <w:rFonts w:ascii="Times New Roman" w:cs="Times New Roman" w:eastAsia="Times New Roman" w:hAnsi="Times New Roman"/>
          <w:sz w:val="18"/>
          <w:szCs w:val="18"/>
        </w:rPr>
        <w:t xml:space="preserve">[11] X. Chen et al., “Teaching large language models to self-debug,” arXiv:2304.05128, 2023.</w:t>
      </w:r>
    </w:p>
    <w:p>
      <w:pPr>
        <w:spacing w:after="60"/>
        <w:ind w:left="360" w:hanging="360"/>
        <w:jc w:val="both"/>
      </w:pPr>
      <w:r>
        <w:rPr>
          <w:rFonts w:ascii="Times New Roman" w:cs="Times New Roman" w:eastAsia="Times New Roman" w:hAnsi="Times New Roman"/>
          <w:sz w:val="18"/>
          <w:szCs w:val="18"/>
        </w:rPr>
        <w:t xml:space="preserve">[12] Q. Wu et al., “AutoGen: Enabling next-gen LLM applications via multi-agent conversation,” arXiv:2308.08155, 2023.</w:t>
      </w:r>
    </w:p>
    <w:p>
      <w:pPr>
        <w:spacing w:after="60"/>
        <w:ind w:left="360" w:hanging="360"/>
        <w:jc w:val="both"/>
      </w:pPr>
      <w:r>
        <w:rPr>
          <w:rFonts w:ascii="Times New Roman" w:cs="Times New Roman" w:eastAsia="Times New Roman" w:hAnsi="Times New Roman"/>
          <w:sz w:val="18"/>
          <w:szCs w:val="18"/>
        </w:rPr>
        <w:t xml:space="preserve">[13] S. Hong et al., “MetaGPT: Meta programming for a multi-agent collaborative framework,” arXiv:2308.00352, 2023.</w:t>
      </w:r>
    </w:p>
    <w:p>
      <w:pPr>
        <w:spacing w:after="60"/>
        <w:ind w:left="360" w:hanging="360"/>
        <w:jc w:val="both"/>
      </w:pPr>
      <w:r>
        <w:rPr>
          <w:rFonts w:ascii="Times New Roman" w:cs="Times New Roman" w:eastAsia="Times New Roman" w:hAnsi="Times New Roman"/>
          <w:sz w:val="18"/>
          <w:szCs w:val="18"/>
        </w:rPr>
        <w:t xml:space="preserve">[14] G. Li et al., “CAMEL: Communicative agents for ‘mind’ exploration of large language model society,” arXiv:2303.17760, 2023.</w:t>
      </w:r>
    </w:p>
    <w:p>
      <w:pPr>
        <w:spacing w:after="60"/>
        <w:ind w:left="360" w:hanging="360"/>
        <w:jc w:val="both"/>
      </w:pPr>
      <w:r>
        <w:rPr>
          <w:rFonts w:ascii="Times New Roman" w:cs="Times New Roman" w:eastAsia="Times New Roman" w:hAnsi="Times New Roman"/>
          <w:sz w:val="18"/>
          <w:szCs w:val="18"/>
        </w:rPr>
        <w:t xml:space="preserve">[15] C. Qian et al., “Communicative agents for software development,” arXiv:2307.07924, 2023.</w:t>
      </w:r>
    </w:p>
    <w:p>
      <w:pPr>
        <w:spacing w:after="60"/>
        <w:ind w:left="360" w:hanging="360"/>
        <w:jc w:val="both"/>
      </w:pPr>
      <w:r>
        <w:rPr>
          <w:rFonts w:ascii="Times New Roman" w:cs="Times New Roman" w:eastAsia="Times New Roman" w:hAnsi="Times New Roman"/>
          <w:sz w:val="18"/>
          <w:szCs w:val="18"/>
        </w:rPr>
        <w:t xml:space="preserve">[16] C. E. Jimenez et al., “SWE-bench: Can language models resolve real-world GitHub issues?” arXiv:2310.06770, 2023.</w:t>
      </w:r>
    </w:p>
    <w:p>
      <w:pPr>
        <w:spacing w:after="60"/>
        <w:ind w:left="360" w:hanging="360"/>
        <w:jc w:val="both"/>
      </w:pPr>
      <w:r>
        <w:rPr>
          <w:rFonts w:ascii="Times New Roman" w:cs="Times New Roman" w:eastAsia="Times New Roman" w:hAnsi="Times New Roman"/>
          <w:sz w:val="18"/>
          <w:szCs w:val="18"/>
        </w:rPr>
        <w:t xml:space="preserve">[17] J. Yang et al., “SWE-agent: Agent-computer interfaces enable automated software engineering,” arXiv:2405.15793, 2024.</w:t>
      </w:r>
    </w:p>
    <w:p>
      <w:pPr>
        <w:spacing w:after="60"/>
        <w:ind w:left="360" w:hanging="360"/>
        <w:jc w:val="both"/>
      </w:pPr>
      <w:r>
        <w:rPr>
          <w:rFonts w:ascii="Times New Roman" w:cs="Times New Roman" w:eastAsia="Times New Roman" w:hAnsi="Times New Roman"/>
          <w:sz w:val="18"/>
          <w:szCs w:val="18"/>
        </w:rPr>
        <w:t xml:space="preserve">[18] S. Zhou et al., “WebArena: A realistic web environment for building autonomous agents,” arXiv:2307.13854, 2023.</w:t>
      </w:r>
    </w:p>
    <w:p>
      <w:pPr>
        <w:spacing w:after="60"/>
        <w:ind w:left="360" w:hanging="360"/>
        <w:jc w:val="both"/>
      </w:pPr>
      <w:r>
        <w:rPr>
          <w:rFonts w:ascii="Times New Roman" w:cs="Times New Roman" w:eastAsia="Times New Roman" w:hAnsi="Times New Roman"/>
          <w:sz w:val="18"/>
          <w:szCs w:val="18"/>
        </w:rPr>
        <w:t xml:space="preserve">[19] X. Liu et al., “AgentBench: Evaluating LLMs as agents,” arXiv:2308.03688, 2023.</w:t>
      </w:r>
    </w:p>
    <w:p>
      <w:pPr>
        <w:spacing w:after="60"/>
        <w:ind w:left="360" w:hanging="360"/>
        <w:jc w:val="both"/>
      </w:pPr>
      <w:r>
        <w:rPr>
          <w:rFonts w:ascii="Times New Roman" w:cs="Times New Roman" w:eastAsia="Times New Roman" w:hAnsi="Times New Roman"/>
          <w:sz w:val="18"/>
          <w:szCs w:val="18"/>
        </w:rPr>
        <w:t xml:space="preserve">[20] G. Mialon et al., “GAIA: A benchmark for general AI assistants,” arXiv:2311.12983, 2023.</w:t>
      </w:r>
    </w:p>
    <w:p>
      <w:pPr>
        <w:spacing w:after="60"/>
        <w:ind w:left="360" w:hanging="360"/>
        <w:jc w:val="both"/>
      </w:pPr>
      <w:r>
        <w:rPr>
          <w:rFonts w:ascii="Times New Roman" w:cs="Times New Roman" w:eastAsia="Times New Roman" w:hAnsi="Times New Roman"/>
          <w:sz w:val="18"/>
          <w:szCs w:val="18"/>
        </w:rPr>
        <w:t xml:space="preserve">[21] X. Yuan et al., “debug-gym: A text-based environment for interactive debugging,” arXiv:2503.21557, 2025.</w:t>
      </w:r>
    </w:p>
    <w:p>
      <w:pPr>
        <w:spacing w:after="60"/>
        <w:ind w:left="360" w:hanging="360"/>
        <w:jc w:val="both"/>
      </w:pPr>
      <w:r>
        <w:rPr>
          <w:rFonts w:ascii="Times New Roman" w:cs="Times New Roman" w:eastAsia="Times New Roman" w:hAnsi="Times New Roman"/>
          <w:sz w:val="18"/>
          <w:szCs w:val="18"/>
        </w:rPr>
        <w:t xml:space="preserve">[22] H. A. de Souza, M. L. Chaim, and F. Kon, “Spectrum-based software fault localization: A survey,” arXiv:1607.04347, 2016.</w:t>
      </w:r>
    </w:p>
    <w:p>
      <w:pPr>
        <w:spacing w:after="60"/>
        <w:ind w:left="360" w:hanging="360"/>
        <w:jc w:val="both"/>
      </w:pPr>
      <w:r>
        <w:rPr>
          <w:rFonts w:ascii="Times New Roman" w:cs="Times New Roman" w:eastAsia="Times New Roman" w:hAnsi="Times New Roman"/>
          <w:sz w:val="18"/>
          <w:szCs w:val="18"/>
        </w:rPr>
        <w:t xml:space="preserve">[23] T. Wang and G. Qi, “A comprehensive survey on root cause analysis in (micro) services,” arXiv:2408.00803, 2024.</w:t>
      </w:r>
    </w:p>
    <w:p>
      <w:pPr>
        <w:spacing w:after="60"/>
        <w:ind w:left="360" w:hanging="360"/>
        <w:jc w:val="both"/>
      </w:pPr>
      <w:r>
        <w:rPr>
          <w:rFonts w:ascii="Times New Roman" w:cs="Times New Roman" w:eastAsia="Times New Roman" w:hAnsi="Times New Roman"/>
          <w:sz w:val="18"/>
          <w:szCs w:val="18"/>
        </w:rPr>
        <w:t xml:space="preserve">[24] L. Pham et al., “Root cause analysis for microservice system based on causal inference,” arXiv:2408.13729, 2024.</w:t>
      </w:r>
    </w:p>
    <w:p>
      <w:pPr>
        <w:spacing w:after="60"/>
        <w:ind w:left="360" w:hanging="360"/>
        <w:jc w:val="both"/>
      </w:pPr>
      <w:r>
        <w:rPr>
          <w:rFonts w:ascii="Times New Roman" w:cs="Times New Roman" w:eastAsia="Times New Roman" w:hAnsi="Times New Roman"/>
          <w:sz w:val="18"/>
          <w:szCs w:val="18"/>
        </w:rPr>
        <w:t xml:space="preserve">[25] J. Soldani and A. Brogi, “Anomaly detection and failure root cause analysis in (micro)service-based cloud applications,” arXiv:2105.12378, 2021.</w:t>
      </w:r>
    </w:p>
    <w:p>
      <w:pPr>
        <w:spacing w:after="60"/>
        <w:ind w:left="360" w:hanging="360"/>
        <w:jc w:val="both"/>
      </w:pPr>
      <w:r>
        <w:rPr>
          <w:rFonts w:ascii="Times New Roman" w:cs="Times New Roman" w:eastAsia="Times New Roman" w:hAnsi="Times New Roman"/>
          <w:sz w:val="18"/>
          <w:szCs w:val="18"/>
        </w:rPr>
        <w:t xml:space="preserve">[27] L. Zheng et al., “Judging LLM-as-a-judge with MT-Bench and Chatbot Arena,” arXiv:2306.05685, 2023.</w:t>
      </w:r>
    </w:p>
    <w:p>
      <w:pPr>
        <w:spacing w:after="60"/>
        <w:ind w:left="360" w:hanging="360"/>
        <w:jc w:val="both"/>
      </w:pPr>
      <w:r>
        <w:rPr>
          <w:rFonts w:ascii="Times New Roman" w:cs="Times New Roman" w:eastAsia="Times New Roman" w:hAnsi="Times New Roman"/>
          <w:sz w:val="18"/>
          <w:szCs w:val="18"/>
        </w:rPr>
        <w:t xml:space="preserve">[29] E. Strubell, A. Ganesh, and A. McCallum, “Energy and policy considerations for deep learning in NLP,” ACL 2019.</w:t>
      </w:r>
    </w:p>
    <w:p>
      <w:pPr>
        <w:spacing w:after="60"/>
        <w:ind w:left="360" w:hanging="360"/>
        <w:jc w:val="both"/>
      </w:pPr>
      <w:r>
        <w:rPr>
          <w:rFonts w:ascii="Times New Roman" w:cs="Times New Roman" w:eastAsia="Times New Roman" w:hAnsi="Times New Roman"/>
          <w:sz w:val="18"/>
          <w:szCs w:val="18"/>
        </w:rPr>
        <w:t xml:space="preserve">[30] I. O. Gallegos et al., “Bias and fairness in large language models: A survey,” arXiv:2309.00770, 2023.</w:t>
      </w:r>
    </w:p>
    <w:p>
      <w:pPr>
        <w:spacing w:after="60"/>
        <w:ind w:left="360" w:hanging="360"/>
        <w:jc w:val="both"/>
      </w:pPr>
      <w:r>
        <w:rPr>
          <w:rFonts w:ascii="Times New Roman" w:cs="Times New Roman" w:eastAsia="Times New Roman" w:hAnsi="Times New Roman"/>
          <w:sz w:val="18"/>
          <w:szCs w:val="18"/>
        </w:rPr>
        <w:t xml:space="preserve">[31] OpenAI, “GPT-4 technical report,” arXiv:2303.08774, 2023.</w:t>
      </w:r>
    </w:p>
    <w:sectPr>
      <w:headerReference w:type="default" r:id="rId7"/>
      <w:footerReference w:type="default" r:id="rId8"/>
      <w:pgSz w:w="11906" w:h="16838" w:orient="portrait"/>
      <w:pgMar w:top="1584" w:right="1756" w:bottom="1584" w:left="17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jc w:val="right"/>
    </w:pPr>
    <w:r>
      <w:rPr>
        <w:rFonts w:ascii="Times New Roman" w:cs="Times New Roman" w:eastAsia="Times New Roman" w:hAnsi="Times New Roman"/>
        <w:i/>
        <w:iCs/>
        <w:sz w:val="18"/>
        <w:szCs w:val="18"/>
      </w:rPr>
      <w:t xml:space="preserve">Causal Failure Attribution for Multi-Agent LLM Pipelines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2026-09-03T10:20:54.932Z</dcterms:created>
  <dcterms:modified xsi:type="dcterms:W3CDTF">2026-09-03T10:20:54.944Z</dcterms:modified>
</cp:coreProperties>
</file>

<file path=docProps/custom.xml><?xml version="1.0" encoding="utf-8"?>
<Properties xmlns="http://schemas.openxmlformats.org/officeDocument/2006/custom-properties" xmlns:vt="http://schemas.openxmlformats.org/officeDocument/2006/docPropsVTypes"/>
</file>