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77" w:rsidRDefault="00412F77">
      <w:pPr>
        <w:pStyle w:val="BodyText"/>
        <w:rPr>
          <w:sz w:val="20"/>
        </w:rPr>
      </w:pPr>
    </w:p>
    <w:p w:rsidR="00412F77" w:rsidRDefault="00412F77">
      <w:pPr>
        <w:pStyle w:val="BodyText"/>
        <w:rPr>
          <w:sz w:val="20"/>
        </w:rPr>
      </w:pPr>
    </w:p>
    <w:p w:rsidR="00412F77" w:rsidRDefault="00412F77">
      <w:pPr>
        <w:pStyle w:val="BodyText"/>
        <w:spacing w:before="3"/>
      </w:pPr>
    </w:p>
    <w:p w:rsidR="00412F77" w:rsidRDefault="007C7626">
      <w:pPr>
        <w:pStyle w:val="Title"/>
      </w:pPr>
      <w:r>
        <w:rPr>
          <w:spacing w:val="-2"/>
        </w:rPr>
        <w:t>Electric</w:t>
      </w:r>
      <w:r>
        <w:rPr>
          <w:spacing w:val="-29"/>
        </w:rPr>
        <w:t xml:space="preserve"> </w:t>
      </w:r>
      <w:r>
        <w:rPr>
          <w:spacing w:val="-2"/>
        </w:rPr>
        <w:t>Vehicles</w:t>
      </w:r>
      <w:r>
        <w:rPr>
          <w:spacing w:val="-24"/>
        </w:rPr>
        <w:t xml:space="preserve"> </w:t>
      </w:r>
      <w:r>
        <w:rPr>
          <w:spacing w:val="-2"/>
        </w:rPr>
        <w:t>Market</w:t>
      </w:r>
      <w:r>
        <w:rPr>
          <w:spacing w:val="-16"/>
        </w:rPr>
        <w:t xml:space="preserve"> </w:t>
      </w:r>
      <w:r>
        <w:rPr>
          <w:spacing w:val="-2"/>
        </w:rPr>
        <w:t>Size</w:t>
      </w:r>
      <w:r>
        <w:rPr>
          <w:spacing w:val="-28"/>
        </w:rPr>
        <w:t xml:space="preserve"> </w:t>
      </w:r>
      <w:r>
        <w:rPr>
          <w:spacing w:val="-2"/>
        </w:rPr>
        <w:t>Analysis</w:t>
      </w:r>
    </w:p>
    <w:p w:rsidR="00412F77" w:rsidRDefault="00412F77">
      <w:pPr>
        <w:pStyle w:val="BodyText"/>
        <w:rPr>
          <w:b/>
          <w:sz w:val="54"/>
        </w:rPr>
      </w:pPr>
    </w:p>
    <w:p w:rsidR="00412F77" w:rsidRDefault="00412F77">
      <w:pPr>
        <w:pStyle w:val="BodyText"/>
        <w:spacing w:before="1"/>
        <w:rPr>
          <w:b/>
          <w:sz w:val="61"/>
        </w:rPr>
      </w:pPr>
    </w:p>
    <w:p w:rsidR="00412F77" w:rsidRDefault="007C7626">
      <w:pPr>
        <w:pStyle w:val="BodyText"/>
        <w:spacing w:line="268" w:lineRule="exact"/>
        <w:ind w:left="124"/>
      </w:pPr>
      <w:r>
        <w:t>Analyzing</w:t>
      </w:r>
      <w:r>
        <w:rPr>
          <w:spacing w:val="4"/>
        </w:rPr>
        <w:t xml:space="preserve"> </w:t>
      </w:r>
      <w:r>
        <w:t>the</w:t>
      </w:r>
      <w:r>
        <w:rPr>
          <w:spacing w:val="-1"/>
        </w:rPr>
        <w:t xml:space="preserve"> </w:t>
      </w:r>
      <w:r>
        <w:t>market</w:t>
      </w:r>
      <w:r>
        <w:rPr>
          <w:spacing w:val="1"/>
        </w:rPr>
        <w:t xml:space="preserve"> </w:t>
      </w:r>
      <w:r>
        <w:t>size</w:t>
      </w:r>
      <w:r>
        <w:rPr>
          <w:spacing w:val="-4"/>
        </w:rPr>
        <w:t xml:space="preserve"> </w:t>
      </w:r>
      <w:r>
        <w:t>for</w:t>
      </w:r>
      <w:r>
        <w:rPr>
          <w:spacing w:val="-2"/>
        </w:rPr>
        <w:t xml:space="preserve"> </w:t>
      </w:r>
      <w:r>
        <w:t>electric</w:t>
      </w:r>
      <w:r>
        <w:rPr>
          <w:spacing w:val="4"/>
        </w:rPr>
        <w:t xml:space="preserve"> </w:t>
      </w:r>
      <w:r>
        <w:t>vehicles</w:t>
      </w:r>
      <w:r>
        <w:rPr>
          <w:spacing w:val="1"/>
        </w:rPr>
        <w:t xml:space="preserve"> </w:t>
      </w:r>
      <w:r>
        <w:t>involves</w:t>
      </w:r>
      <w:r>
        <w:rPr>
          <w:spacing w:val="-2"/>
        </w:rPr>
        <w:t xml:space="preserve"> </w:t>
      </w:r>
      <w:r>
        <w:t>a</w:t>
      </w:r>
      <w:r>
        <w:rPr>
          <w:spacing w:val="-2"/>
        </w:rPr>
        <w:t xml:space="preserve"> </w:t>
      </w:r>
      <w:r>
        <w:t>series of</w:t>
      </w:r>
      <w:r>
        <w:rPr>
          <w:spacing w:val="-3"/>
        </w:rPr>
        <w:t xml:space="preserve"> </w:t>
      </w:r>
      <w:r>
        <w:t>steps</w:t>
      </w:r>
      <w:r>
        <w:rPr>
          <w:spacing w:val="-2"/>
        </w:rPr>
        <w:t xml:space="preserve"> </w:t>
      </w:r>
      <w:r>
        <w:t>that include</w:t>
      </w:r>
      <w:r>
        <w:rPr>
          <w:spacing w:val="-3"/>
        </w:rPr>
        <w:t xml:space="preserve"> </w:t>
      </w:r>
      <w:r>
        <w:t>outlining the</w:t>
      </w:r>
      <w:r>
        <w:rPr>
          <w:spacing w:val="-2"/>
        </w:rPr>
        <w:t xml:space="preserve"> </w:t>
      </w:r>
      <w:r>
        <w:t>market</w:t>
      </w:r>
      <w:r>
        <w:rPr>
          <w:spacing w:val="2"/>
        </w:rPr>
        <w:t xml:space="preserve"> </w:t>
      </w:r>
      <w:r>
        <w:t>parameters,</w:t>
      </w:r>
      <w:r>
        <w:rPr>
          <w:spacing w:val="6"/>
        </w:rPr>
        <w:t xml:space="preserve"> </w:t>
      </w:r>
      <w:r>
        <w:t>gathering</w:t>
      </w:r>
      <w:r>
        <w:rPr>
          <w:spacing w:val="4"/>
        </w:rPr>
        <w:t xml:space="preserve"> </w:t>
      </w:r>
      <w:r>
        <w:t>and</w:t>
      </w:r>
      <w:r>
        <w:rPr>
          <w:spacing w:val="-1"/>
        </w:rPr>
        <w:t xml:space="preserve"> </w:t>
      </w:r>
      <w:r>
        <w:rPr>
          <w:spacing w:val="-2"/>
        </w:rPr>
        <w:t>organizing</w:t>
      </w:r>
    </w:p>
    <w:p w:rsidR="00412F77" w:rsidRDefault="007C7626">
      <w:pPr>
        <w:pStyle w:val="BodyText"/>
        <w:spacing w:line="268" w:lineRule="exact"/>
        <w:ind w:left="124"/>
      </w:pPr>
      <w:r>
        <w:t>data, conducting</w:t>
      </w:r>
      <w:r>
        <w:rPr>
          <w:spacing w:val="1"/>
        </w:rPr>
        <w:t xml:space="preserve"> </w:t>
      </w:r>
      <w:r>
        <w:t>analytical</w:t>
      </w:r>
      <w:r>
        <w:rPr>
          <w:spacing w:val="8"/>
        </w:rPr>
        <w:t xml:space="preserve"> </w:t>
      </w:r>
      <w:r>
        <w:t>modeling,</w:t>
      </w:r>
      <w:r>
        <w:rPr>
          <w:spacing w:val="1"/>
        </w:rPr>
        <w:t xml:space="preserve"> </w:t>
      </w:r>
      <w:r>
        <w:t>and</w:t>
      </w:r>
      <w:r>
        <w:rPr>
          <w:spacing w:val="-2"/>
        </w:rPr>
        <w:t xml:space="preserve"> </w:t>
      </w:r>
      <w:r>
        <w:t>presenting</w:t>
      </w:r>
      <w:r>
        <w:rPr>
          <w:spacing w:val="1"/>
        </w:rPr>
        <w:t xml:space="preserve"> </w:t>
      </w:r>
      <w:r>
        <w:t>results</w:t>
      </w:r>
      <w:r>
        <w:rPr>
          <w:spacing w:val="-3"/>
        </w:rPr>
        <w:t xml:space="preserve"> </w:t>
      </w:r>
      <w:r>
        <w:t>through visualizations</w:t>
      </w:r>
      <w:r>
        <w:rPr>
          <w:spacing w:val="-1"/>
        </w:rPr>
        <w:t xml:space="preserve"> </w:t>
      </w:r>
      <w:r>
        <w:t>and</w:t>
      </w:r>
      <w:r>
        <w:rPr>
          <w:spacing w:val="-1"/>
        </w:rPr>
        <w:t xml:space="preserve"> </w:t>
      </w:r>
      <w:r>
        <w:rPr>
          <w:spacing w:val="-2"/>
        </w:rPr>
        <w:t>reports.</w:t>
      </w:r>
    </w:p>
    <w:p w:rsidR="00412F77" w:rsidRDefault="00412F77">
      <w:pPr>
        <w:pStyle w:val="BodyText"/>
        <w:rPr>
          <w:sz w:val="26"/>
        </w:rPr>
      </w:pPr>
    </w:p>
    <w:p w:rsidR="00412F77" w:rsidRDefault="00412F77">
      <w:pPr>
        <w:pStyle w:val="BodyText"/>
        <w:spacing w:before="10"/>
        <w:rPr>
          <w:sz w:val="30"/>
        </w:rPr>
      </w:pPr>
    </w:p>
    <w:p w:rsidR="00412F77" w:rsidRDefault="007C7626">
      <w:pPr>
        <w:pStyle w:val="BodyText"/>
        <w:spacing w:line="225" w:lineRule="auto"/>
        <w:ind w:left="124" w:right="302"/>
        <w:jc w:val="both"/>
      </w:pPr>
      <w:r>
        <w:rPr>
          <w:b/>
        </w:rPr>
        <w:t>Data</w:t>
      </w:r>
      <w:r>
        <w:rPr>
          <w:b/>
          <w:spacing w:val="-5"/>
        </w:rPr>
        <w:t xml:space="preserve"> </w:t>
      </w:r>
      <w:r>
        <w:rPr>
          <w:b/>
        </w:rPr>
        <w:t>collection</w:t>
      </w:r>
      <w:r>
        <w:rPr>
          <w:b/>
          <w:spacing w:val="-1"/>
        </w:rPr>
        <w:t xml:space="preserve"> </w:t>
      </w:r>
      <w:r>
        <w:rPr>
          <w:b/>
        </w:rPr>
        <w:t xml:space="preserve">methodology </w:t>
      </w:r>
      <w:r>
        <w:t>The</w:t>
      </w:r>
      <w:r>
        <w:rPr>
          <w:spacing w:val="-5"/>
        </w:rPr>
        <w:t xml:space="preserve"> </w:t>
      </w:r>
      <w:r>
        <w:t>data</w:t>
      </w:r>
      <w:r>
        <w:rPr>
          <w:spacing w:val="-4"/>
        </w:rPr>
        <w:t xml:space="preserve"> </w:t>
      </w:r>
      <w:r>
        <w:t>set</w:t>
      </w:r>
      <w:r>
        <w:rPr>
          <w:spacing w:val="-3"/>
        </w:rPr>
        <w:t xml:space="preserve"> </w:t>
      </w:r>
      <w:r>
        <w:t>has</w:t>
      </w:r>
      <w:r>
        <w:rPr>
          <w:spacing w:val="-5"/>
        </w:rPr>
        <w:t xml:space="preserve"> </w:t>
      </w:r>
      <w:r>
        <w:t>many</w:t>
      </w:r>
      <w:r>
        <w:rPr>
          <w:spacing w:val="-4"/>
        </w:rPr>
        <w:t xml:space="preserve"> </w:t>
      </w:r>
      <w:r>
        <w:t>data</w:t>
      </w:r>
      <w:r>
        <w:rPr>
          <w:spacing w:val="-2"/>
        </w:rPr>
        <w:t xml:space="preserve"> </w:t>
      </w:r>
      <w:r>
        <w:t>points</w:t>
      </w:r>
      <w:r>
        <w:rPr>
          <w:spacing w:val="-5"/>
        </w:rPr>
        <w:t xml:space="preserve"> </w:t>
      </w:r>
      <w:r>
        <w:t>such</w:t>
      </w:r>
      <w:r>
        <w:rPr>
          <w:spacing w:val="-5"/>
        </w:rPr>
        <w:t xml:space="preserve"> </w:t>
      </w:r>
      <w:r>
        <w:t>as</w:t>
      </w:r>
      <w:r>
        <w:rPr>
          <w:spacing w:val="-5"/>
        </w:rPr>
        <w:t xml:space="preserve"> </w:t>
      </w:r>
      <w:r>
        <w:t>county, city, state,</w:t>
      </w:r>
      <w:r>
        <w:rPr>
          <w:spacing w:val="-2"/>
        </w:rPr>
        <w:t xml:space="preserve"> </w:t>
      </w:r>
      <w:r>
        <w:t>postal</w:t>
      </w:r>
      <w:r>
        <w:rPr>
          <w:spacing w:val="-5"/>
        </w:rPr>
        <w:t xml:space="preserve"> </w:t>
      </w:r>
      <w:r>
        <w:t>code,</w:t>
      </w:r>
      <w:r>
        <w:rPr>
          <w:spacing w:val="-2"/>
        </w:rPr>
        <w:t xml:space="preserve"> </w:t>
      </w:r>
      <w:r>
        <w:t>model</w:t>
      </w:r>
      <w:r>
        <w:rPr>
          <w:spacing w:val="-3"/>
        </w:rPr>
        <w:t xml:space="preserve"> </w:t>
      </w:r>
      <w:r>
        <w:t>year, model,</w:t>
      </w:r>
      <w:r>
        <w:rPr>
          <w:spacing w:val="-3"/>
        </w:rPr>
        <w:t xml:space="preserve"> </w:t>
      </w:r>
      <w:r>
        <w:t>make,</w:t>
      </w:r>
      <w:r>
        <w:rPr>
          <w:spacing w:val="-2"/>
        </w:rPr>
        <w:t xml:space="preserve"> </w:t>
      </w:r>
      <w:r>
        <w:t>electric vehicle type, etc.</w:t>
      </w:r>
    </w:p>
    <w:p w:rsidR="00412F77" w:rsidRDefault="00412F77">
      <w:pPr>
        <w:pStyle w:val="BodyText"/>
        <w:rPr>
          <w:sz w:val="26"/>
        </w:rPr>
      </w:pPr>
    </w:p>
    <w:p w:rsidR="00412F77" w:rsidRDefault="00412F77">
      <w:pPr>
        <w:pStyle w:val="BodyText"/>
        <w:spacing w:before="4"/>
        <w:rPr>
          <w:sz w:val="31"/>
        </w:rPr>
      </w:pPr>
    </w:p>
    <w:p w:rsidR="00412F77" w:rsidRDefault="007C7626">
      <w:pPr>
        <w:pStyle w:val="BodyText"/>
        <w:spacing w:before="1" w:line="225" w:lineRule="auto"/>
        <w:ind w:left="124" w:right="283"/>
        <w:jc w:val="both"/>
      </w:pPr>
      <w:r>
        <w:rPr>
          <w:b/>
        </w:rPr>
        <w:t>Statistical</w:t>
      </w:r>
      <w:r>
        <w:rPr>
          <w:b/>
          <w:spacing w:val="-7"/>
        </w:rPr>
        <w:t xml:space="preserve"> </w:t>
      </w:r>
      <w:r>
        <w:rPr>
          <w:b/>
        </w:rPr>
        <w:t>and</w:t>
      </w:r>
      <w:r>
        <w:rPr>
          <w:b/>
          <w:spacing w:val="-15"/>
        </w:rPr>
        <w:t xml:space="preserve"> </w:t>
      </w:r>
      <w:r>
        <w:rPr>
          <w:b/>
        </w:rPr>
        <w:t>Analytic</w:t>
      </w:r>
      <w:r>
        <w:rPr>
          <w:b/>
          <w:spacing w:val="-5"/>
        </w:rPr>
        <w:t xml:space="preserve"> </w:t>
      </w:r>
      <w:r>
        <w:rPr>
          <w:b/>
        </w:rPr>
        <w:t>Issues</w:t>
      </w:r>
      <w:r>
        <w:rPr>
          <w:b/>
          <w:spacing w:val="-8"/>
        </w:rPr>
        <w:t xml:space="preserve"> </w:t>
      </w:r>
      <w:r>
        <w:t>The</w:t>
      </w:r>
      <w:r>
        <w:rPr>
          <w:spacing w:val="-1"/>
        </w:rPr>
        <w:t xml:space="preserve"> </w:t>
      </w:r>
      <w:r>
        <w:t>dataset contains</w:t>
      </w:r>
      <w:r>
        <w:rPr>
          <w:spacing w:val="-2"/>
        </w:rPr>
        <w:t xml:space="preserve"> </w:t>
      </w:r>
      <w:r>
        <w:t>NA</w:t>
      </w:r>
      <w:r>
        <w:rPr>
          <w:spacing w:val="-15"/>
        </w:rPr>
        <w:t xml:space="preserve"> </w:t>
      </w:r>
      <w:r>
        <w:t>values</w:t>
      </w:r>
      <w:r>
        <w:rPr>
          <w:spacing w:val="-2"/>
        </w:rPr>
        <w:t xml:space="preserve"> </w:t>
      </w:r>
      <w:r>
        <w:t>in</w:t>
      </w:r>
      <w:r>
        <w:rPr>
          <w:spacing w:val="-4"/>
        </w:rPr>
        <w:t xml:space="preserve"> </w:t>
      </w:r>
      <w:r>
        <w:t>several columns,</w:t>
      </w:r>
      <w:r>
        <w:rPr>
          <w:spacing w:val="-3"/>
        </w:rPr>
        <w:t xml:space="preserve"> </w:t>
      </w:r>
      <w:r>
        <w:t>including</w:t>
      </w:r>
      <w:r>
        <w:rPr>
          <w:spacing w:val="-3"/>
        </w:rPr>
        <w:t xml:space="preserve"> </w:t>
      </w:r>
      <w:r>
        <w:t>county, city, postal</w:t>
      </w:r>
      <w:r>
        <w:rPr>
          <w:spacing w:val="-2"/>
        </w:rPr>
        <w:t xml:space="preserve"> </w:t>
      </w:r>
      <w:r>
        <w:t>code,</w:t>
      </w:r>
      <w:r>
        <w:rPr>
          <w:spacing w:val="-2"/>
        </w:rPr>
        <w:t xml:space="preserve"> </w:t>
      </w:r>
      <w:r>
        <w:t>legislative district,</w:t>
      </w:r>
      <w:r>
        <w:rPr>
          <w:spacing w:val="-2"/>
        </w:rPr>
        <w:t xml:space="preserve"> </w:t>
      </w:r>
      <w:r>
        <w:t>vehicle location, electric utility, and</w:t>
      </w:r>
      <w:r>
        <w:rPr>
          <w:spacing w:val="-1"/>
        </w:rPr>
        <w:t xml:space="preserve"> </w:t>
      </w:r>
      <w:r>
        <w:t>2020</w:t>
      </w:r>
      <w:r>
        <w:rPr>
          <w:spacing w:val="-3"/>
        </w:rPr>
        <w:t xml:space="preserve"> </w:t>
      </w:r>
      <w:r>
        <w:t>census</w:t>
      </w:r>
      <w:r>
        <w:rPr>
          <w:spacing w:val="-3"/>
        </w:rPr>
        <w:t xml:space="preserve"> </w:t>
      </w:r>
      <w:r>
        <w:t>tract, indicating that</w:t>
      </w:r>
      <w:r>
        <w:rPr>
          <w:spacing w:val="-1"/>
        </w:rPr>
        <w:t xml:space="preserve"> </w:t>
      </w:r>
      <w:r>
        <w:t>data</w:t>
      </w:r>
      <w:r>
        <w:rPr>
          <w:spacing w:val="-2"/>
        </w:rPr>
        <w:t xml:space="preserve"> </w:t>
      </w:r>
      <w:r>
        <w:t>for</w:t>
      </w:r>
      <w:r>
        <w:rPr>
          <w:spacing w:val="-3"/>
        </w:rPr>
        <w:t xml:space="preserve"> </w:t>
      </w:r>
      <w:r>
        <w:t>these</w:t>
      </w:r>
      <w:r>
        <w:rPr>
          <w:spacing w:val="-3"/>
        </w:rPr>
        <w:t xml:space="preserve"> </w:t>
      </w:r>
      <w:r>
        <w:t>fields</w:t>
      </w:r>
      <w:r>
        <w:rPr>
          <w:spacing w:val="-1"/>
        </w:rPr>
        <w:t xml:space="preserve"> </w:t>
      </w:r>
      <w:r>
        <w:t>is</w:t>
      </w:r>
      <w:r>
        <w:rPr>
          <w:spacing w:val="-3"/>
        </w:rPr>
        <w:t xml:space="preserve"> </w:t>
      </w:r>
      <w:r>
        <w:t>missing.</w:t>
      </w:r>
      <w:r>
        <w:rPr>
          <w:spacing w:val="-14"/>
        </w:rPr>
        <w:t xml:space="preserve"> </w:t>
      </w:r>
      <w:r>
        <w:t>As</w:t>
      </w:r>
      <w:r>
        <w:rPr>
          <w:spacing w:val="-6"/>
        </w:rPr>
        <w:t xml:space="preserve"> </w:t>
      </w:r>
      <w:r>
        <w:t>a</w:t>
      </w:r>
      <w:r>
        <w:rPr>
          <w:spacing w:val="-2"/>
        </w:rPr>
        <w:t xml:space="preserve"> </w:t>
      </w:r>
      <w:r>
        <w:t>result,</w:t>
      </w:r>
      <w:r>
        <w:rPr>
          <w:spacing w:val="-1"/>
        </w:rPr>
        <w:t xml:space="preserve"> </w:t>
      </w:r>
      <w:r>
        <w:t>we</w:t>
      </w:r>
      <w:r>
        <w:rPr>
          <w:spacing w:val="-3"/>
        </w:rPr>
        <w:t xml:space="preserve"> </w:t>
      </w:r>
      <w:r>
        <w:t>have</w:t>
      </w:r>
      <w:r>
        <w:rPr>
          <w:spacing w:val="-2"/>
        </w:rPr>
        <w:t xml:space="preserve"> </w:t>
      </w:r>
      <w:r>
        <w:t>excluded those</w:t>
      </w:r>
      <w:r>
        <w:rPr>
          <w:spacing w:val="-3"/>
        </w:rPr>
        <w:t xml:space="preserve"> </w:t>
      </w:r>
      <w:r>
        <w:t>rows</w:t>
      </w:r>
      <w:r>
        <w:rPr>
          <w:spacing w:val="-3"/>
        </w:rPr>
        <w:t xml:space="preserve"> </w:t>
      </w:r>
      <w:r>
        <w:t>with</w:t>
      </w:r>
      <w:r>
        <w:rPr>
          <w:spacing w:val="-3"/>
        </w:rPr>
        <w:t xml:space="preserve"> </w:t>
      </w:r>
      <w:r>
        <w:t>blank cells, which represent unavailable data.</w:t>
      </w:r>
    </w:p>
    <w:p w:rsidR="00412F77" w:rsidRDefault="00412F77">
      <w:pPr>
        <w:spacing w:line="225" w:lineRule="auto"/>
        <w:jc w:val="both"/>
        <w:sectPr w:rsidR="00412F77">
          <w:type w:val="continuous"/>
          <w:pgSz w:w="19200" w:h="10800" w:orient="landscape"/>
          <w:pgMar w:top="1220" w:right="2300" w:bottom="280" w:left="2420" w:header="720" w:footer="720" w:gutter="0"/>
          <w:cols w:space="720"/>
        </w:sectPr>
      </w:pPr>
    </w:p>
    <w:p w:rsidR="00412F77" w:rsidRDefault="007C7626">
      <w:pPr>
        <w:pStyle w:val="Heading1"/>
        <w:ind w:left="285"/>
      </w:pPr>
      <w:r>
        <w:lastRenderedPageBreak/>
        <w:t>Data</w:t>
      </w:r>
      <w:r>
        <w:rPr>
          <w:spacing w:val="-4"/>
        </w:rPr>
        <w:t xml:space="preserve"> </w:t>
      </w:r>
      <w:r>
        <w:t>description</w:t>
      </w:r>
      <w:r>
        <w:rPr>
          <w:spacing w:val="-4"/>
        </w:rPr>
        <w:t xml:space="preserve"> </w:t>
      </w:r>
      <w:r>
        <w:t>of</w:t>
      </w:r>
      <w:r>
        <w:rPr>
          <w:spacing w:val="-3"/>
        </w:rPr>
        <w:t xml:space="preserve"> </w:t>
      </w:r>
      <w:r>
        <w:t>the</w:t>
      </w:r>
      <w:r>
        <w:rPr>
          <w:spacing w:val="-4"/>
        </w:rPr>
        <w:t xml:space="preserve"> </w:t>
      </w:r>
      <w:r>
        <w:t>data</w:t>
      </w:r>
      <w:r>
        <w:rPr>
          <w:spacing w:val="-4"/>
        </w:rPr>
        <w:t xml:space="preserve"> </w:t>
      </w:r>
      <w:r>
        <w:t>set</w:t>
      </w:r>
      <w:r>
        <w:rPr>
          <w:spacing w:val="-4"/>
        </w:rPr>
        <w:t xml:space="preserve"> </w:t>
      </w:r>
      <w:r>
        <w:t>of</w:t>
      </w:r>
      <w:r>
        <w:rPr>
          <w:spacing w:val="-3"/>
        </w:rPr>
        <w:t xml:space="preserve"> </w:t>
      </w:r>
      <w:r>
        <w:rPr>
          <w:spacing w:val="-2"/>
        </w:rPr>
        <w:t>column</w:t>
      </w:r>
    </w:p>
    <w:p w:rsidR="00412F77" w:rsidRDefault="00412F77">
      <w:pPr>
        <w:pStyle w:val="BodyText"/>
        <w:rPr>
          <w:b/>
          <w:sz w:val="20"/>
        </w:rPr>
      </w:pPr>
    </w:p>
    <w:p w:rsidR="00412F77" w:rsidRDefault="0009693F">
      <w:pPr>
        <w:pStyle w:val="BodyText"/>
        <w:spacing w:before="10"/>
        <w:rPr>
          <w:b/>
          <w:sz w:val="27"/>
        </w:rPr>
      </w:pPr>
      <w:r>
        <w:pict>
          <v:shape id="docshape1" o:spid="_x0000_s1026" style="position:absolute;margin-left:145.55pt;margin-top:72.5pt;width:652.2pt;height:457.5pt;z-index:-251658240;mso-position-horizontal-relative:page;mso-position-vertical-relative:page" coordorigin="2911,1498" coordsize="13044,9150" path="m15955,2374r-9110,l6845,1498r-80,l6765,2374r-3854,l2911,2466r3854,l6765,10648r80,l6845,2466r9110,l15955,2374xe" fillcolor="black" stroked="f">
            <v:path arrowok="t"/>
            <w10:wrap anchorx="page" anchory="page"/>
          </v:shape>
        </w:pict>
      </w:r>
    </w:p>
    <w:p w:rsidR="00412F77" w:rsidRDefault="007C7626">
      <w:pPr>
        <w:tabs>
          <w:tab w:val="left" w:pos="7486"/>
        </w:tabs>
        <w:spacing w:before="90"/>
        <w:ind w:left="1726"/>
        <w:rPr>
          <w:b/>
          <w:sz w:val="24"/>
        </w:rPr>
      </w:pPr>
      <w:r>
        <w:rPr>
          <w:b/>
          <w:spacing w:val="-4"/>
          <w:sz w:val="24"/>
        </w:rPr>
        <w:t>Data</w:t>
      </w:r>
      <w:r>
        <w:rPr>
          <w:b/>
          <w:sz w:val="24"/>
        </w:rPr>
        <w:tab/>
      </w:r>
      <w:r>
        <w:rPr>
          <w:b/>
          <w:spacing w:val="-2"/>
          <w:sz w:val="24"/>
        </w:rPr>
        <w:t>Description</w:t>
      </w:r>
    </w:p>
    <w:p w:rsidR="00412F77" w:rsidRDefault="00412F77">
      <w:pPr>
        <w:pStyle w:val="BodyText"/>
        <w:rPr>
          <w:b/>
          <w:sz w:val="20"/>
        </w:rPr>
      </w:pPr>
    </w:p>
    <w:p w:rsidR="00412F77" w:rsidRDefault="00412F77">
      <w:pPr>
        <w:pStyle w:val="BodyText"/>
        <w:spacing w:before="3"/>
        <w:rPr>
          <w:b/>
          <w:sz w:val="21"/>
        </w:rPr>
      </w:pPr>
    </w:p>
    <w:p w:rsidR="00412F77" w:rsidRDefault="00412F77">
      <w:pPr>
        <w:rPr>
          <w:sz w:val="21"/>
        </w:rPr>
        <w:sectPr w:rsidR="00412F77">
          <w:pgSz w:w="19200" w:h="10800" w:orient="landscape"/>
          <w:pgMar w:top="840" w:right="2300" w:bottom="0" w:left="2420" w:header="720" w:footer="720" w:gutter="0"/>
          <w:cols w:space="720"/>
        </w:sectPr>
      </w:pPr>
    </w:p>
    <w:p w:rsidR="00412F77" w:rsidRDefault="007C7626">
      <w:pPr>
        <w:pStyle w:val="BodyText"/>
        <w:spacing w:before="90"/>
        <w:ind w:left="1153"/>
      </w:pPr>
      <w:r>
        <w:lastRenderedPageBreak/>
        <w:t>VIN</w:t>
      </w:r>
      <w:r>
        <w:rPr>
          <w:spacing w:val="-9"/>
        </w:rPr>
        <w:t xml:space="preserve"> </w:t>
      </w:r>
      <w:r>
        <w:t>(1-</w:t>
      </w:r>
      <w:r>
        <w:rPr>
          <w:spacing w:val="-5"/>
        </w:rPr>
        <w:t>10)</w:t>
      </w:r>
    </w:p>
    <w:p w:rsidR="00412F77" w:rsidRDefault="007C7626">
      <w:pPr>
        <w:pStyle w:val="BodyText"/>
        <w:spacing w:before="183" w:line="400" w:lineRule="auto"/>
        <w:ind w:left="1158" w:right="1381"/>
      </w:pPr>
      <w:r>
        <w:rPr>
          <w:spacing w:val="-2"/>
        </w:rPr>
        <w:t xml:space="preserve">County </w:t>
      </w:r>
      <w:r>
        <w:rPr>
          <w:spacing w:val="-4"/>
        </w:rPr>
        <w:t xml:space="preserve">City </w:t>
      </w:r>
      <w:r>
        <w:rPr>
          <w:spacing w:val="-2"/>
        </w:rPr>
        <w:t>State</w:t>
      </w:r>
    </w:p>
    <w:p w:rsidR="00412F77" w:rsidRDefault="00412F77">
      <w:pPr>
        <w:pStyle w:val="BodyText"/>
        <w:spacing w:before="1"/>
        <w:rPr>
          <w:sz w:val="22"/>
        </w:rPr>
      </w:pPr>
    </w:p>
    <w:p w:rsidR="00412F77" w:rsidRDefault="007C7626">
      <w:pPr>
        <w:pStyle w:val="BodyText"/>
        <w:spacing w:line="398" w:lineRule="auto"/>
        <w:ind w:left="1158" w:right="938"/>
      </w:pPr>
      <w:r>
        <w:t>Postal</w:t>
      </w:r>
      <w:r>
        <w:rPr>
          <w:spacing w:val="-15"/>
        </w:rPr>
        <w:t xml:space="preserve"> </w:t>
      </w:r>
      <w:r>
        <w:t>Code Model</w:t>
      </w:r>
      <w:r>
        <w:rPr>
          <w:spacing w:val="-15"/>
        </w:rPr>
        <w:t xml:space="preserve"> </w:t>
      </w:r>
      <w:r>
        <w:t xml:space="preserve">Year </w:t>
      </w:r>
      <w:r>
        <w:rPr>
          <w:spacing w:val="-4"/>
        </w:rPr>
        <w:t xml:space="preserve">Make </w:t>
      </w:r>
      <w:r>
        <w:rPr>
          <w:spacing w:val="-2"/>
        </w:rPr>
        <w:t>Model</w:t>
      </w:r>
    </w:p>
    <w:p w:rsidR="00412F77" w:rsidRDefault="007C7626">
      <w:pPr>
        <w:pStyle w:val="BodyText"/>
        <w:spacing w:before="4" w:line="400" w:lineRule="auto"/>
        <w:ind w:left="1158" w:right="34"/>
      </w:pPr>
      <w:r>
        <w:rPr>
          <w:spacing w:val="-2"/>
        </w:rPr>
        <w:t>Electric</w:t>
      </w:r>
      <w:r>
        <w:rPr>
          <w:spacing w:val="-13"/>
        </w:rPr>
        <w:t xml:space="preserve"> </w:t>
      </w:r>
      <w:r>
        <w:rPr>
          <w:spacing w:val="-2"/>
        </w:rPr>
        <w:t>Vehicle</w:t>
      </w:r>
      <w:r>
        <w:rPr>
          <w:spacing w:val="-13"/>
        </w:rPr>
        <w:t xml:space="preserve"> </w:t>
      </w:r>
      <w:r>
        <w:rPr>
          <w:spacing w:val="-2"/>
        </w:rPr>
        <w:t xml:space="preserve">Type </w:t>
      </w:r>
      <w:r>
        <w:t>CAFV Eligibility Electric Range</w:t>
      </w:r>
    </w:p>
    <w:p w:rsidR="00412F77" w:rsidRDefault="007C7626">
      <w:pPr>
        <w:pStyle w:val="BodyText"/>
        <w:spacing w:line="398" w:lineRule="auto"/>
        <w:ind w:left="1153" w:right="208" w:firstLine="4"/>
      </w:pPr>
      <w:r>
        <w:t>Base MSRP Legislative</w:t>
      </w:r>
      <w:r>
        <w:rPr>
          <w:spacing w:val="-15"/>
        </w:rPr>
        <w:t xml:space="preserve"> </w:t>
      </w:r>
      <w:r>
        <w:t>District DOL Vehicle ID Vehicle Location Electric Utility 2020 Census Tract</w:t>
      </w:r>
    </w:p>
    <w:p w:rsidR="00412F77" w:rsidRDefault="007C7626">
      <w:pPr>
        <w:pStyle w:val="BodyText"/>
        <w:spacing w:before="90" w:line="398" w:lineRule="auto"/>
        <w:ind w:left="1153" w:right="2821"/>
      </w:pPr>
      <w:r>
        <w:br w:type="column"/>
      </w:r>
      <w:r>
        <w:lastRenderedPageBreak/>
        <w:t>This</w:t>
      </w:r>
      <w:r>
        <w:rPr>
          <w:spacing w:val="-5"/>
        </w:rPr>
        <w:t xml:space="preserve"> </w:t>
      </w:r>
      <w:r>
        <w:t>column</w:t>
      </w:r>
      <w:r>
        <w:rPr>
          <w:spacing w:val="-3"/>
        </w:rPr>
        <w:t xml:space="preserve"> </w:t>
      </w:r>
      <w:proofErr w:type="gramStart"/>
      <w:r>
        <w:t>consist</w:t>
      </w:r>
      <w:proofErr w:type="gramEnd"/>
      <w:r>
        <w:rPr>
          <w:spacing w:val="-4"/>
        </w:rPr>
        <w:t xml:space="preserve"> </w:t>
      </w:r>
      <w:r>
        <w:t>of</w:t>
      </w:r>
      <w:r>
        <w:rPr>
          <w:spacing w:val="-2"/>
        </w:rPr>
        <w:t xml:space="preserve"> </w:t>
      </w:r>
      <w:r>
        <w:t>most</w:t>
      </w:r>
      <w:r>
        <w:rPr>
          <w:spacing w:val="-4"/>
        </w:rPr>
        <w:t xml:space="preserve"> </w:t>
      </w:r>
      <w:r>
        <w:t>of</w:t>
      </w:r>
      <w:r>
        <w:rPr>
          <w:spacing w:val="-4"/>
        </w:rPr>
        <w:t xml:space="preserve"> </w:t>
      </w:r>
      <w:r>
        <w:t>the</w:t>
      </w:r>
      <w:r>
        <w:rPr>
          <w:spacing w:val="-4"/>
        </w:rPr>
        <w:t xml:space="preserve"> </w:t>
      </w:r>
      <w:r>
        <w:t>countries of</w:t>
      </w:r>
      <w:r>
        <w:rPr>
          <w:spacing w:val="-4"/>
        </w:rPr>
        <w:t xml:space="preserve"> </w:t>
      </w:r>
      <w:r>
        <w:t>the</w:t>
      </w:r>
      <w:r>
        <w:rPr>
          <w:spacing w:val="-4"/>
        </w:rPr>
        <w:t xml:space="preserve"> </w:t>
      </w:r>
      <w:r>
        <w:t>world. The county in which the vehicle is registered.</w:t>
      </w:r>
    </w:p>
    <w:p w:rsidR="00412F77" w:rsidRDefault="007C7626">
      <w:pPr>
        <w:pStyle w:val="BodyText"/>
        <w:spacing w:before="1"/>
        <w:ind w:left="1153"/>
      </w:pPr>
      <w:r>
        <w:t>The</w:t>
      </w:r>
      <w:r>
        <w:rPr>
          <w:spacing w:val="-1"/>
        </w:rPr>
        <w:t xml:space="preserve"> </w:t>
      </w:r>
      <w:r>
        <w:t>city</w:t>
      </w:r>
      <w:r>
        <w:rPr>
          <w:spacing w:val="1"/>
        </w:rPr>
        <w:t xml:space="preserve"> </w:t>
      </w:r>
      <w:r>
        <w:t>in</w:t>
      </w:r>
      <w:r>
        <w:rPr>
          <w:spacing w:val="2"/>
        </w:rPr>
        <w:t xml:space="preserve"> </w:t>
      </w:r>
      <w:r>
        <w:t>which</w:t>
      </w:r>
      <w:r>
        <w:rPr>
          <w:spacing w:val="-1"/>
        </w:rPr>
        <w:t xml:space="preserve"> </w:t>
      </w:r>
      <w:r>
        <w:t>t</w:t>
      </w:r>
      <w:r>
        <w:t>he vehicle</w:t>
      </w:r>
      <w:r>
        <w:rPr>
          <w:spacing w:val="6"/>
        </w:rPr>
        <w:t xml:space="preserve"> </w:t>
      </w:r>
      <w:r>
        <w:t>is</w:t>
      </w:r>
      <w:r>
        <w:rPr>
          <w:spacing w:val="-1"/>
        </w:rPr>
        <w:t xml:space="preserve"> </w:t>
      </w:r>
      <w:r>
        <w:rPr>
          <w:spacing w:val="-2"/>
        </w:rPr>
        <w:t>registered.</w:t>
      </w:r>
    </w:p>
    <w:p w:rsidR="00412F77" w:rsidRDefault="007C7626">
      <w:pPr>
        <w:pStyle w:val="BodyText"/>
        <w:spacing w:before="198" w:line="225" w:lineRule="auto"/>
        <w:ind w:left="1158" w:right="542" w:hanging="5"/>
      </w:pPr>
      <w:r>
        <w:t>The</w:t>
      </w:r>
      <w:r>
        <w:rPr>
          <w:spacing w:val="-4"/>
        </w:rPr>
        <w:t xml:space="preserve"> </w:t>
      </w:r>
      <w:r>
        <w:t>state</w:t>
      </w:r>
      <w:r>
        <w:rPr>
          <w:spacing w:val="-1"/>
        </w:rPr>
        <w:t xml:space="preserve"> </w:t>
      </w:r>
      <w:r>
        <w:t>in</w:t>
      </w:r>
      <w:r>
        <w:rPr>
          <w:spacing w:val="-4"/>
        </w:rPr>
        <w:t xml:space="preserve"> </w:t>
      </w:r>
      <w:r>
        <w:t>which</w:t>
      </w:r>
      <w:r>
        <w:rPr>
          <w:spacing w:val="-3"/>
        </w:rPr>
        <w:t xml:space="preserve"> </w:t>
      </w:r>
      <w:r>
        <w:t>the</w:t>
      </w:r>
      <w:r>
        <w:rPr>
          <w:spacing w:val="-3"/>
        </w:rPr>
        <w:t xml:space="preserve"> </w:t>
      </w:r>
      <w:r>
        <w:t>vehicle</w:t>
      </w:r>
      <w:r>
        <w:rPr>
          <w:spacing w:val="-1"/>
        </w:rPr>
        <w:t xml:space="preserve"> </w:t>
      </w:r>
      <w:r>
        <w:t>is</w:t>
      </w:r>
      <w:r>
        <w:rPr>
          <w:spacing w:val="-4"/>
        </w:rPr>
        <w:t xml:space="preserve"> </w:t>
      </w:r>
      <w:r>
        <w:t>registered. It appears that</w:t>
      </w:r>
      <w:r>
        <w:rPr>
          <w:spacing w:val="-2"/>
        </w:rPr>
        <w:t xml:space="preserve"> </w:t>
      </w:r>
      <w:r>
        <w:t>this</w:t>
      </w:r>
      <w:r>
        <w:rPr>
          <w:spacing w:val="-7"/>
        </w:rPr>
        <w:t xml:space="preserve"> </w:t>
      </w:r>
      <w:r>
        <w:t>dataset may</w:t>
      </w:r>
      <w:r>
        <w:rPr>
          <w:spacing w:val="-5"/>
        </w:rPr>
        <w:t xml:space="preserve"> </w:t>
      </w:r>
      <w:r>
        <w:t>be focused on Washington (WA) state.</w:t>
      </w:r>
    </w:p>
    <w:p w:rsidR="00412F77" w:rsidRDefault="007C7626">
      <w:pPr>
        <w:pStyle w:val="BodyText"/>
        <w:spacing w:before="186" w:line="398" w:lineRule="auto"/>
        <w:ind w:left="1153" w:right="3831"/>
      </w:pPr>
      <w:r>
        <w:t>The</w:t>
      </w:r>
      <w:r>
        <w:rPr>
          <w:spacing w:val="-7"/>
        </w:rPr>
        <w:t xml:space="preserve"> </w:t>
      </w:r>
      <w:r>
        <w:t>postal</w:t>
      </w:r>
      <w:r>
        <w:rPr>
          <w:spacing w:val="-5"/>
        </w:rPr>
        <w:t xml:space="preserve"> </w:t>
      </w:r>
      <w:r>
        <w:t>code</w:t>
      </w:r>
      <w:r>
        <w:rPr>
          <w:spacing w:val="-4"/>
        </w:rPr>
        <w:t xml:space="preserve"> </w:t>
      </w:r>
      <w:r>
        <w:t>where</w:t>
      </w:r>
      <w:r>
        <w:rPr>
          <w:spacing w:val="-7"/>
        </w:rPr>
        <w:t xml:space="preserve"> </w:t>
      </w:r>
      <w:r>
        <w:t>the</w:t>
      </w:r>
      <w:r>
        <w:rPr>
          <w:spacing w:val="-6"/>
        </w:rPr>
        <w:t xml:space="preserve"> </w:t>
      </w:r>
      <w:r>
        <w:t>vehicle</w:t>
      </w:r>
      <w:r>
        <w:rPr>
          <w:spacing w:val="-1"/>
        </w:rPr>
        <w:t xml:space="preserve"> </w:t>
      </w:r>
      <w:r>
        <w:t>is</w:t>
      </w:r>
      <w:r>
        <w:rPr>
          <w:spacing w:val="-7"/>
        </w:rPr>
        <w:t xml:space="preserve"> </w:t>
      </w:r>
      <w:r>
        <w:t>registered. The year of the vehicle model.</w:t>
      </w:r>
    </w:p>
    <w:p w:rsidR="00412F77" w:rsidRDefault="007C7626">
      <w:pPr>
        <w:pStyle w:val="BodyText"/>
        <w:spacing w:before="3" w:line="398" w:lineRule="auto"/>
        <w:ind w:left="1153" w:right="5245"/>
      </w:pPr>
      <w:r>
        <w:t>The</w:t>
      </w:r>
      <w:r>
        <w:rPr>
          <w:spacing w:val="-10"/>
        </w:rPr>
        <w:t xml:space="preserve"> </w:t>
      </w:r>
      <w:r>
        <w:t>manufacturer</w:t>
      </w:r>
      <w:r>
        <w:rPr>
          <w:spacing w:val="-1"/>
        </w:rPr>
        <w:t xml:space="preserve"> </w:t>
      </w:r>
      <w:r>
        <w:t>of</w:t>
      </w:r>
      <w:r>
        <w:rPr>
          <w:spacing w:val="-10"/>
        </w:rPr>
        <w:t xml:space="preserve"> </w:t>
      </w:r>
      <w:r>
        <w:t>the</w:t>
      </w:r>
      <w:r>
        <w:rPr>
          <w:spacing w:val="-10"/>
        </w:rPr>
        <w:t xml:space="preserve"> </w:t>
      </w:r>
      <w:r>
        <w:t>vehicle. The model of the vehicle.</w:t>
      </w:r>
    </w:p>
    <w:p w:rsidR="00412F77" w:rsidRDefault="007C7626">
      <w:pPr>
        <w:pStyle w:val="BodyText"/>
        <w:spacing w:before="1" w:line="400" w:lineRule="auto"/>
        <w:ind w:left="1158" w:right="1510" w:hanging="5"/>
      </w:pPr>
      <w:r>
        <w:t>The</w:t>
      </w:r>
      <w:r>
        <w:rPr>
          <w:spacing w:val="-9"/>
        </w:rPr>
        <w:t xml:space="preserve"> </w:t>
      </w:r>
      <w:r>
        <w:t>type</w:t>
      </w:r>
      <w:r>
        <w:rPr>
          <w:spacing w:val="-2"/>
        </w:rPr>
        <w:t xml:space="preserve"> </w:t>
      </w:r>
      <w:r>
        <w:t>of</w:t>
      </w:r>
      <w:r>
        <w:rPr>
          <w:spacing w:val="-8"/>
        </w:rPr>
        <w:t xml:space="preserve"> </w:t>
      </w:r>
      <w:r>
        <w:t>electric</w:t>
      </w:r>
      <w:r>
        <w:rPr>
          <w:spacing w:val="-2"/>
        </w:rPr>
        <w:t xml:space="preserve"> </w:t>
      </w:r>
      <w:r>
        <w:t>vehicle,</w:t>
      </w:r>
      <w:r>
        <w:rPr>
          <w:spacing w:val="-5"/>
        </w:rPr>
        <w:t xml:space="preserve"> </w:t>
      </w:r>
      <w:r>
        <w:t>e.g.,</w:t>
      </w:r>
      <w:r>
        <w:rPr>
          <w:spacing w:val="-5"/>
        </w:rPr>
        <w:t xml:space="preserve"> </w:t>
      </w:r>
      <w:r>
        <w:t>Battery</w:t>
      </w:r>
      <w:r>
        <w:rPr>
          <w:spacing w:val="-5"/>
        </w:rPr>
        <w:t xml:space="preserve"> </w:t>
      </w:r>
      <w:r>
        <w:t>Electric</w:t>
      </w:r>
      <w:r>
        <w:rPr>
          <w:spacing w:val="-6"/>
        </w:rPr>
        <w:t xml:space="preserve"> </w:t>
      </w:r>
      <w:r>
        <w:t>Vehicle</w:t>
      </w:r>
      <w:r>
        <w:rPr>
          <w:spacing w:val="-6"/>
        </w:rPr>
        <w:t xml:space="preserve"> </w:t>
      </w:r>
      <w:r>
        <w:t>(BEV). Eligibility status for clean alternative fuel vehicle programs.</w:t>
      </w:r>
    </w:p>
    <w:p w:rsidR="00412F77" w:rsidRDefault="007C7626">
      <w:pPr>
        <w:pStyle w:val="BodyText"/>
        <w:spacing w:line="273" w:lineRule="exact"/>
        <w:ind w:left="1153"/>
      </w:pPr>
      <w:r>
        <w:t>The</w:t>
      </w:r>
      <w:r>
        <w:rPr>
          <w:spacing w:val="-4"/>
        </w:rPr>
        <w:t xml:space="preserve"> </w:t>
      </w:r>
      <w:r>
        <w:t>maximum range</w:t>
      </w:r>
      <w:r>
        <w:rPr>
          <w:spacing w:val="5"/>
        </w:rPr>
        <w:t xml:space="preserve"> </w:t>
      </w:r>
      <w:r>
        <w:t>of</w:t>
      </w:r>
      <w:r>
        <w:rPr>
          <w:spacing w:val="-2"/>
        </w:rPr>
        <w:t xml:space="preserve"> </w:t>
      </w:r>
      <w:r>
        <w:t>the</w:t>
      </w:r>
      <w:r>
        <w:rPr>
          <w:spacing w:val="-2"/>
        </w:rPr>
        <w:t xml:space="preserve"> </w:t>
      </w:r>
      <w:r>
        <w:t>vehicle</w:t>
      </w:r>
      <w:r>
        <w:rPr>
          <w:spacing w:val="5"/>
        </w:rPr>
        <w:t xml:space="preserve"> </w:t>
      </w:r>
      <w:r>
        <w:t>on</w:t>
      </w:r>
      <w:r>
        <w:rPr>
          <w:spacing w:val="-2"/>
        </w:rPr>
        <w:t xml:space="preserve"> </w:t>
      </w:r>
      <w:r>
        <w:t>a</w:t>
      </w:r>
      <w:r>
        <w:rPr>
          <w:spacing w:val="-2"/>
        </w:rPr>
        <w:t xml:space="preserve"> </w:t>
      </w:r>
      <w:r>
        <w:t>single</w:t>
      </w:r>
      <w:r>
        <w:rPr>
          <w:spacing w:val="2"/>
        </w:rPr>
        <w:t xml:space="preserve"> </w:t>
      </w:r>
      <w:r>
        <w:t>charge</w:t>
      </w:r>
      <w:r>
        <w:rPr>
          <w:spacing w:val="6"/>
        </w:rPr>
        <w:t xml:space="preserve"> </w:t>
      </w:r>
      <w:r>
        <w:t>(in</w:t>
      </w:r>
      <w:r>
        <w:rPr>
          <w:spacing w:val="-1"/>
        </w:rPr>
        <w:t xml:space="preserve"> </w:t>
      </w:r>
      <w:r>
        <w:rPr>
          <w:spacing w:val="-2"/>
        </w:rPr>
        <w:t>miles).</w:t>
      </w:r>
    </w:p>
    <w:p w:rsidR="00412F77" w:rsidRDefault="007C7626">
      <w:pPr>
        <w:pStyle w:val="BodyText"/>
        <w:spacing w:before="182"/>
        <w:ind w:left="1153"/>
      </w:pPr>
      <w:r>
        <w:t>The</w:t>
      </w:r>
      <w:r>
        <w:rPr>
          <w:spacing w:val="-8"/>
        </w:rPr>
        <w:t xml:space="preserve"> </w:t>
      </w:r>
      <w:r>
        <w:t>Manufacturer’s</w:t>
      </w:r>
      <w:r>
        <w:rPr>
          <w:spacing w:val="-2"/>
        </w:rPr>
        <w:t xml:space="preserve"> </w:t>
      </w:r>
      <w:r>
        <w:t>Sugges</w:t>
      </w:r>
      <w:r>
        <w:t>ted</w:t>
      </w:r>
      <w:r>
        <w:rPr>
          <w:spacing w:val="-2"/>
        </w:rPr>
        <w:t xml:space="preserve"> </w:t>
      </w:r>
      <w:r>
        <w:t>Retail</w:t>
      </w:r>
      <w:r>
        <w:rPr>
          <w:spacing w:val="-6"/>
        </w:rPr>
        <w:t xml:space="preserve"> </w:t>
      </w:r>
      <w:r>
        <w:rPr>
          <w:spacing w:val="-2"/>
        </w:rPr>
        <w:t>Price.</w:t>
      </w:r>
    </w:p>
    <w:p w:rsidR="00412F77" w:rsidRDefault="007C7626">
      <w:pPr>
        <w:pStyle w:val="BodyText"/>
        <w:spacing w:before="185" w:line="398" w:lineRule="auto"/>
        <w:ind w:left="1158" w:right="2439" w:hanging="5"/>
      </w:pPr>
      <w:r>
        <w:t>The</w:t>
      </w:r>
      <w:r>
        <w:rPr>
          <w:spacing w:val="-6"/>
        </w:rPr>
        <w:t xml:space="preserve"> </w:t>
      </w:r>
      <w:r>
        <w:t>legislative district</w:t>
      </w:r>
      <w:r>
        <w:rPr>
          <w:spacing w:val="-5"/>
        </w:rPr>
        <w:t xml:space="preserve"> </w:t>
      </w:r>
      <w:r>
        <w:t>where</w:t>
      </w:r>
      <w:r>
        <w:rPr>
          <w:spacing w:val="-5"/>
        </w:rPr>
        <w:t xml:space="preserve"> </w:t>
      </w:r>
      <w:r>
        <w:t>the</w:t>
      </w:r>
      <w:r>
        <w:rPr>
          <w:spacing w:val="-6"/>
        </w:rPr>
        <w:t xml:space="preserve"> </w:t>
      </w:r>
      <w:r>
        <w:t>vehicle</w:t>
      </w:r>
      <w:r>
        <w:rPr>
          <w:spacing w:val="-1"/>
        </w:rPr>
        <w:t xml:space="preserve"> </w:t>
      </w:r>
      <w:r>
        <w:t>is</w:t>
      </w:r>
      <w:r>
        <w:rPr>
          <w:spacing w:val="-8"/>
        </w:rPr>
        <w:t xml:space="preserve"> </w:t>
      </w:r>
      <w:r>
        <w:t>registered. Department of Licensing Vehicle Identification.</w:t>
      </w:r>
    </w:p>
    <w:p w:rsidR="00412F77" w:rsidRDefault="007C7626">
      <w:pPr>
        <w:pStyle w:val="BodyText"/>
        <w:spacing w:before="1"/>
        <w:ind w:left="1158"/>
      </w:pPr>
      <w:r>
        <w:t>Geographic</w:t>
      </w:r>
      <w:r>
        <w:rPr>
          <w:spacing w:val="4"/>
        </w:rPr>
        <w:t xml:space="preserve"> </w:t>
      </w:r>
      <w:r>
        <w:t>coordinates of</w:t>
      </w:r>
      <w:r>
        <w:rPr>
          <w:spacing w:val="-2"/>
        </w:rPr>
        <w:t xml:space="preserve"> </w:t>
      </w:r>
      <w:r>
        <w:t>the</w:t>
      </w:r>
      <w:r>
        <w:rPr>
          <w:spacing w:val="-3"/>
        </w:rPr>
        <w:t xml:space="preserve"> </w:t>
      </w:r>
      <w:r>
        <w:t>vehicle</w:t>
      </w:r>
      <w:r>
        <w:rPr>
          <w:spacing w:val="2"/>
        </w:rPr>
        <w:t xml:space="preserve"> </w:t>
      </w:r>
      <w:r>
        <w:rPr>
          <w:spacing w:val="-2"/>
        </w:rPr>
        <w:t>location.</w:t>
      </w:r>
    </w:p>
    <w:p w:rsidR="00412F77" w:rsidRDefault="007C7626">
      <w:pPr>
        <w:pStyle w:val="BodyText"/>
        <w:spacing w:before="185"/>
        <w:ind w:left="1153"/>
      </w:pPr>
      <w:r>
        <w:t>The</w:t>
      </w:r>
      <w:r>
        <w:rPr>
          <w:spacing w:val="-4"/>
        </w:rPr>
        <w:t xml:space="preserve"> </w:t>
      </w:r>
      <w:r>
        <w:t>electric</w:t>
      </w:r>
      <w:r>
        <w:rPr>
          <w:spacing w:val="4"/>
        </w:rPr>
        <w:t xml:space="preserve"> </w:t>
      </w:r>
      <w:r>
        <w:t>utility</w:t>
      </w:r>
      <w:r>
        <w:rPr>
          <w:spacing w:val="-1"/>
        </w:rPr>
        <w:t xml:space="preserve"> </w:t>
      </w:r>
      <w:r>
        <w:t>service provider for</w:t>
      </w:r>
      <w:r>
        <w:rPr>
          <w:spacing w:val="-3"/>
        </w:rPr>
        <w:t xml:space="preserve"> </w:t>
      </w:r>
      <w:r>
        <w:t>the</w:t>
      </w:r>
      <w:r>
        <w:rPr>
          <w:spacing w:val="-1"/>
        </w:rPr>
        <w:t xml:space="preserve"> </w:t>
      </w:r>
      <w:r>
        <w:t>vehicle’s</w:t>
      </w:r>
      <w:r>
        <w:rPr>
          <w:spacing w:val="1"/>
        </w:rPr>
        <w:t xml:space="preserve"> </w:t>
      </w:r>
      <w:r>
        <w:rPr>
          <w:spacing w:val="-2"/>
        </w:rPr>
        <w:t>location.</w:t>
      </w:r>
    </w:p>
    <w:p w:rsidR="00412F77" w:rsidRDefault="007C7626">
      <w:pPr>
        <w:pStyle w:val="BodyText"/>
        <w:spacing w:before="182"/>
        <w:ind w:left="1153"/>
      </w:pPr>
      <w:r>
        <w:t>The</w:t>
      </w:r>
      <w:r>
        <w:rPr>
          <w:spacing w:val="-5"/>
        </w:rPr>
        <w:t xml:space="preserve"> </w:t>
      </w:r>
      <w:r>
        <w:t>census</w:t>
      </w:r>
      <w:r>
        <w:rPr>
          <w:spacing w:val="-3"/>
        </w:rPr>
        <w:t xml:space="preserve"> </w:t>
      </w:r>
      <w:r>
        <w:t>tract for</w:t>
      </w:r>
      <w:r>
        <w:rPr>
          <w:spacing w:val="-4"/>
        </w:rPr>
        <w:t xml:space="preserve"> </w:t>
      </w:r>
      <w:r>
        <w:t>the</w:t>
      </w:r>
      <w:r>
        <w:rPr>
          <w:spacing w:val="-4"/>
        </w:rPr>
        <w:t xml:space="preserve"> </w:t>
      </w:r>
      <w:r>
        <w:t xml:space="preserve">vehicle’s </w:t>
      </w:r>
      <w:r>
        <w:rPr>
          <w:spacing w:val="-2"/>
        </w:rPr>
        <w:t>location.</w:t>
      </w:r>
    </w:p>
    <w:p w:rsidR="00412F77" w:rsidRDefault="00412F77">
      <w:pPr>
        <w:sectPr w:rsidR="00412F77">
          <w:type w:val="continuous"/>
          <w:pgSz w:w="19200" w:h="10800" w:orient="landscape"/>
          <w:pgMar w:top="1220" w:right="2300" w:bottom="280" w:left="2420" w:header="720" w:footer="720" w:gutter="0"/>
          <w:cols w:num="2" w:space="720" w:equalWidth="0">
            <w:col w:w="3254" w:space="1367"/>
            <w:col w:w="9859"/>
          </w:cols>
        </w:sectPr>
      </w:pPr>
    </w:p>
    <w:p w:rsidR="00412F77" w:rsidRDefault="007C7626">
      <w:pPr>
        <w:pStyle w:val="Heading1"/>
        <w:spacing w:before="184"/>
      </w:pPr>
      <w:r>
        <w:rPr>
          <w:spacing w:val="-4"/>
        </w:rPr>
        <w:lastRenderedPageBreak/>
        <w:t>DATA</w:t>
      </w:r>
      <w:r>
        <w:rPr>
          <w:spacing w:val="-18"/>
        </w:rPr>
        <w:t xml:space="preserve"> </w:t>
      </w:r>
      <w:r>
        <w:rPr>
          <w:spacing w:val="-4"/>
        </w:rPr>
        <w:t>VISUALIZATION</w:t>
      </w:r>
      <w:r>
        <w:rPr>
          <w:spacing w:val="-13"/>
        </w:rPr>
        <w:t xml:space="preserve"> </w:t>
      </w:r>
      <w:r>
        <w:rPr>
          <w:spacing w:val="-4"/>
        </w:rPr>
        <w:t>AND</w:t>
      </w:r>
      <w:r>
        <w:rPr>
          <w:spacing w:val="-9"/>
        </w:rPr>
        <w:t xml:space="preserve"> </w:t>
      </w:r>
      <w:r>
        <w:rPr>
          <w:spacing w:val="-4"/>
        </w:rPr>
        <w:t>ANALYSIS</w:t>
      </w:r>
    </w:p>
    <w:p w:rsidR="00412F77" w:rsidRDefault="007C7626">
      <w:pPr>
        <w:pStyle w:val="BodyText"/>
        <w:spacing w:before="197" w:line="225" w:lineRule="auto"/>
        <w:ind w:left="124" w:right="345"/>
      </w:pPr>
      <w:r>
        <w:t>We</w:t>
      </w:r>
      <w:r>
        <w:rPr>
          <w:spacing w:val="-2"/>
        </w:rPr>
        <w:t xml:space="preserve"> </w:t>
      </w:r>
      <w:r>
        <w:t>will</w:t>
      </w:r>
      <w:r>
        <w:rPr>
          <w:spacing w:val="-3"/>
        </w:rPr>
        <w:t xml:space="preserve"> </w:t>
      </w:r>
      <w:r>
        <w:t>be</w:t>
      </w:r>
      <w:r>
        <w:rPr>
          <w:spacing w:val="-2"/>
        </w:rPr>
        <w:t xml:space="preserve"> </w:t>
      </w:r>
      <w:r>
        <w:t>analyzing the</w:t>
      </w:r>
      <w:r>
        <w:rPr>
          <w:spacing w:val="-2"/>
        </w:rPr>
        <w:t xml:space="preserve"> </w:t>
      </w:r>
      <w:r>
        <w:t>data with</w:t>
      </w:r>
      <w:r>
        <w:rPr>
          <w:spacing w:val="-3"/>
        </w:rPr>
        <w:t xml:space="preserve"> </w:t>
      </w:r>
      <w:r>
        <w:t>the</w:t>
      </w:r>
      <w:r>
        <w:rPr>
          <w:spacing w:val="-2"/>
        </w:rPr>
        <w:t xml:space="preserve"> </w:t>
      </w:r>
      <w:r>
        <w:t>help</w:t>
      </w:r>
      <w:r>
        <w:rPr>
          <w:spacing w:val="-1"/>
        </w:rPr>
        <w:t xml:space="preserve"> </w:t>
      </w:r>
      <w:r>
        <w:t>of</w:t>
      </w:r>
      <w:r>
        <w:rPr>
          <w:spacing w:val="-3"/>
        </w:rPr>
        <w:t xml:space="preserve"> </w:t>
      </w:r>
      <w:r>
        <w:t>some</w:t>
      </w:r>
      <w:r>
        <w:rPr>
          <w:spacing w:val="-2"/>
        </w:rPr>
        <w:t xml:space="preserve"> </w:t>
      </w:r>
      <w:r>
        <w:t>questions.</w:t>
      </w:r>
      <w:r>
        <w:rPr>
          <w:spacing w:val="-3"/>
        </w:rPr>
        <w:t xml:space="preserve"> </w:t>
      </w:r>
      <w:r>
        <w:t>Below</w:t>
      </w:r>
      <w:r>
        <w:rPr>
          <w:spacing w:val="-1"/>
        </w:rPr>
        <w:t xml:space="preserve"> </w:t>
      </w:r>
      <w:r>
        <w:t>is</w:t>
      </w:r>
      <w:r>
        <w:rPr>
          <w:spacing w:val="-3"/>
        </w:rPr>
        <w:t xml:space="preserve"> </w:t>
      </w:r>
      <w:r>
        <w:t>the</w:t>
      </w:r>
      <w:r>
        <w:rPr>
          <w:spacing w:val="-2"/>
        </w:rPr>
        <w:t xml:space="preserve"> </w:t>
      </w:r>
      <w:r>
        <w:t>figure</w:t>
      </w:r>
      <w:r>
        <w:rPr>
          <w:spacing w:val="-1"/>
        </w:rPr>
        <w:t xml:space="preserve"> </w:t>
      </w:r>
      <w:r>
        <w:t>of</w:t>
      </w:r>
      <w:r>
        <w:rPr>
          <w:spacing w:val="-2"/>
        </w:rPr>
        <w:t xml:space="preserve"> </w:t>
      </w:r>
      <w:r>
        <w:t>the</w:t>
      </w:r>
      <w:r>
        <w:rPr>
          <w:spacing w:val="-2"/>
        </w:rPr>
        <w:t xml:space="preserve"> </w:t>
      </w:r>
      <w:r>
        <w:t>data</w:t>
      </w:r>
      <w:r>
        <w:rPr>
          <w:spacing w:val="-2"/>
        </w:rPr>
        <w:t xml:space="preserve"> </w:t>
      </w:r>
      <w:r>
        <w:t>sheet in</w:t>
      </w:r>
      <w:r>
        <w:rPr>
          <w:spacing w:val="-3"/>
        </w:rPr>
        <w:t xml:space="preserve"> </w:t>
      </w:r>
      <w:r>
        <w:t>excel</w:t>
      </w:r>
      <w:r>
        <w:rPr>
          <w:spacing w:val="-1"/>
        </w:rPr>
        <w:t xml:space="preserve"> </w:t>
      </w:r>
      <w:r>
        <w:t>that</w:t>
      </w:r>
      <w:r>
        <w:rPr>
          <w:spacing w:val="-1"/>
        </w:rPr>
        <w:t xml:space="preserve"> </w:t>
      </w:r>
      <w:r>
        <w:t>will</w:t>
      </w:r>
      <w:r>
        <w:rPr>
          <w:spacing w:val="-1"/>
        </w:rPr>
        <w:t xml:space="preserve"> </w:t>
      </w:r>
      <w:r>
        <w:t>give you the</w:t>
      </w:r>
      <w:r>
        <w:rPr>
          <w:spacing w:val="-2"/>
        </w:rPr>
        <w:t xml:space="preserve"> </w:t>
      </w:r>
      <w:r>
        <w:t>hint</w:t>
      </w:r>
      <w:r>
        <w:rPr>
          <w:spacing w:val="-1"/>
        </w:rPr>
        <w:t xml:space="preserve"> </w:t>
      </w:r>
      <w:r>
        <w:t>that</w:t>
      </w:r>
      <w:r>
        <w:rPr>
          <w:spacing w:val="-1"/>
        </w:rPr>
        <w:t xml:space="preserve"> </w:t>
      </w:r>
      <w:r>
        <w:t>how the data is available to us.</w:t>
      </w:r>
    </w:p>
    <w:p w:rsidR="00412F77" w:rsidRDefault="00412F77">
      <w:pPr>
        <w:pStyle w:val="BodyText"/>
        <w:rPr>
          <w:sz w:val="20"/>
        </w:rPr>
      </w:pPr>
    </w:p>
    <w:p w:rsidR="00412F77" w:rsidRDefault="007C7626">
      <w:pPr>
        <w:pStyle w:val="BodyText"/>
        <w:spacing w:before="9"/>
      </w:pPr>
      <w:r>
        <w:rPr>
          <w:noProof/>
          <w:lang w:val="en-IN" w:eastAsia="en-IN"/>
        </w:rPr>
        <w:drawing>
          <wp:anchor distT="0" distB="0" distL="0" distR="0" simplePos="0" relativeHeight="251657216" behindDoc="0" locked="0" layoutInCell="1" allowOverlap="1">
            <wp:simplePos x="0" y="0"/>
            <wp:positionH relativeFrom="page">
              <wp:posOffset>1615440</wp:posOffset>
            </wp:positionH>
            <wp:positionV relativeFrom="paragraph">
              <wp:posOffset>193040</wp:posOffset>
            </wp:positionV>
            <wp:extent cx="8890635" cy="4053840"/>
            <wp:effectExtent l="0" t="0" r="5715" b="381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8890635" cy="4053840"/>
                    </a:xfrm>
                    <a:prstGeom prst="rect">
                      <a:avLst/>
                    </a:prstGeom>
                  </pic:spPr>
                </pic:pic>
              </a:graphicData>
            </a:graphic>
            <wp14:sizeRelV relativeFrom="margin">
              <wp14:pctHeight>0</wp14:pctHeight>
            </wp14:sizeRelV>
          </wp:anchor>
        </w:drawing>
      </w:r>
    </w:p>
    <w:p w:rsidR="00412F77" w:rsidRDefault="00412F77"/>
    <w:p w:rsidR="0009693F" w:rsidRDefault="0009693F" w:rsidP="0009693F">
      <w:pPr>
        <w:pStyle w:val="BodyText"/>
        <w:ind w:left="60" w:right="497"/>
        <w:jc w:val="center"/>
        <w:sectPr w:rsidR="0009693F">
          <w:pgSz w:w="19200" w:h="10800" w:orient="landscape"/>
          <w:pgMar w:top="1220" w:right="2300" w:bottom="280" w:left="2420" w:header="720" w:footer="720" w:gutter="0"/>
          <w:cols w:space="720"/>
        </w:sectPr>
      </w:pPr>
      <w:r>
        <w:t>Figure</w:t>
      </w:r>
      <w:r>
        <w:rPr>
          <w:spacing w:val="-10"/>
        </w:rPr>
        <w:t xml:space="preserve"> </w:t>
      </w:r>
      <w:r>
        <w:t>5.1:</w:t>
      </w:r>
      <w:r>
        <w:rPr>
          <w:spacing w:val="4"/>
        </w:rPr>
        <w:t xml:space="preserve"> </w:t>
      </w:r>
      <w:r>
        <w:t>Electric Vehicles Population Dataset</w:t>
      </w:r>
    </w:p>
    <w:p w:rsidR="00412F77" w:rsidRDefault="0009693F">
      <w:pPr>
        <w:pStyle w:val="BodyText"/>
        <w:spacing w:before="4"/>
        <w:rPr>
          <w:sz w:val="17"/>
        </w:rPr>
      </w:pPr>
      <w:r>
        <w:rPr>
          <w:noProof/>
          <w:sz w:val="17"/>
          <w:lang w:val="en-IN" w:eastAsia="en-IN"/>
        </w:rPr>
        <w:lastRenderedPageBreak/>
        <w:drawing>
          <wp:inline distT="0" distB="0" distL="0" distR="0">
            <wp:extent cx="9194800" cy="13246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20 221944.png"/>
                    <pic:cNvPicPr/>
                  </pic:nvPicPr>
                  <pic:blipFill>
                    <a:blip r:embed="rId7">
                      <a:extLst>
                        <a:ext uri="{28A0092B-C50C-407E-A947-70E740481C1C}">
                          <a14:useLocalDpi xmlns:a14="http://schemas.microsoft.com/office/drawing/2010/main" val="0"/>
                        </a:ext>
                      </a:extLst>
                    </a:blip>
                    <a:stretch>
                      <a:fillRect/>
                    </a:stretch>
                  </pic:blipFill>
                  <pic:spPr>
                    <a:xfrm>
                      <a:off x="0" y="0"/>
                      <a:ext cx="9194800" cy="1324610"/>
                    </a:xfrm>
                    <a:prstGeom prst="rect">
                      <a:avLst/>
                    </a:prstGeom>
                  </pic:spPr>
                </pic:pic>
              </a:graphicData>
            </a:graphic>
          </wp:inline>
        </w:drawing>
      </w:r>
    </w:p>
    <w:p w:rsidR="0009693F" w:rsidRDefault="0009693F">
      <w:pPr>
        <w:pStyle w:val="BodyText"/>
        <w:spacing w:before="4"/>
        <w:rPr>
          <w:sz w:val="17"/>
        </w:rPr>
      </w:pPr>
    </w:p>
    <w:p w:rsidR="0009693F" w:rsidRDefault="0009693F">
      <w:pPr>
        <w:pStyle w:val="BodyText"/>
        <w:spacing w:before="4"/>
        <w:rPr>
          <w:sz w:val="17"/>
        </w:rPr>
      </w:pPr>
    </w:p>
    <w:p w:rsidR="0009693F" w:rsidRDefault="0009693F" w:rsidP="0009693F">
      <w:pPr>
        <w:pStyle w:val="BodyText"/>
        <w:ind w:left="60" w:right="497"/>
        <w:jc w:val="center"/>
        <w:rPr>
          <w:spacing w:val="-2"/>
        </w:rPr>
      </w:pPr>
      <w:r>
        <w:t>Figure</w:t>
      </w:r>
      <w:r>
        <w:rPr>
          <w:spacing w:val="-7"/>
        </w:rPr>
        <w:t xml:space="preserve"> </w:t>
      </w:r>
      <w:r>
        <w:t>5.2:</w:t>
      </w:r>
      <w:r>
        <w:rPr>
          <w:spacing w:val="6"/>
        </w:rPr>
        <w:t xml:space="preserve"> </w:t>
      </w:r>
      <w:r>
        <w:t>Importing</w:t>
      </w:r>
      <w:r>
        <w:rPr>
          <w:spacing w:val="-6"/>
        </w:rPr>
        <w:t xml:space="preserve"> </w:t>
      </w:r>
      <w:r>
        <w:t>the</w:t>
      </w:r>
      <w:r>
        <w:rPr>
          <w:spacing w:val="-7"/>
        </w:rPr>
        <w:t xml:space="preserve"> </w:t>
      </w:r>
      <w:r>
        <w:t>required</w:t>
      </w:r>
      <w:r>
        <w:rPr>
          <w:spacing w:val="-7"/>
        </w:rPr>
        <w:t xml:space="preserve"> </w:t>
      </w:r>
      <w:r>
        <w:rPr>
          <w:spacing w:val="-2"/>
        </w:rPr>
        <w:t>packages</w:t>
      </w:r>
    </w:p>
    <w:p w:rsidR="0009693F" w:rsidRDefault="0009693F" w:rsidP="0009693F">
      <w:pPr>
        <w:pStyle w:val="BodyText"/>
        <w:ind w:left="60" w:right="497"/>
        <w:jc w:val="center"/>
        <w:rPr>
          <w:spacing w:val="-2"/>
        </w:rPr>
      </w:pPr>
    </w:p>
    <w:p w:rsidR="0009693F" w:rsidRDefault="0009693F" w:rsidP="0009693F">
      <w:pPr>
        <w:pStyle w:val="BodyText"/>
        <w:ind w:left="60" w:right="497"/>
        <w:jc w:val="center"/>
        <w:rPr>
          <w:spacing w:val="-2"/>
        </w:rPr>
      </w:pPr>
    </w:p>
    <w:p w:rsidR="0009693F" w:rsidRDefault="0009693F" w:rsidP="0009693F">
      <w:pPr>
        <w:pStyle w:val="BodyText"/>
        <w:ind w:left="60" w:right="497"/>
      </w:pPr>
      <w:r>
        <w:rPr>
          <w:noProof/>
          <w:lang w:val="en-IN" w:eastAsia="en-IN"/>
        </w:rPr>
        <w:drawing>
          <wp:inline distT="0" distB="0" distL="0" distR="0">
            <wp:extent cx="8890635" cy="29413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20 223141.png"/>
                    <pic:cNvPicPr/>
                  </pic:nvPicPr>
                  <pic:blipFill>
                    <a:blip r:embed="rId8">
                      <a:extLst>
                        <a:ext uri="{28A0092B-C50C-407E-A947-70E740481C1C}">
                          <a14:useLocalDpi xmlns:a14="http://schemas.microsoft.com/office/drawing/2010/main" val="0"/>
                        </a:ext>
                      </a:extLst>
                    </a:blip>
                    <a:stretch>
                      <a:fillRect/>
                    </a:stretch>
                  </pic:blipFill>
                  <pic:spPr>
                    <a:xfrm>
                      <a:off x="0" y="0"/>
                      <a:ext cx="8890635" cy="2941320"/>
                    </a:xfrm>
                    <a:prstGeom prst="rect">
                      <a:avLst/>
                    </a:prstGeom>
                  </pic:spPr>
                </pic:pic>
              </a:graphicData>
            </a:graphic>
          </wp:inline>
        </w:drawing>
      </w:r>
    </w:p>
    <w:p w:rsidR="0009693F" w:rsidRDefault="0009693F" w:rsidP="0009693F">
      <w:pPr>
        <w:pStyle w:val="BodyText"/>
        <w:ind w:left="60" w:right="497"/>
        <w:jc w:val="center"/>
      </w:pPr>
    </w:p>
    <w:p w:rsidR="0009693F" w:rsidRDefault="0009693F" w:rsidP="0009693F">
      <w:pPr>
        <w:pStyle w:val="BodyText"/>
        <w:ind w:left="60" w:right="497"/>
        <w:jc w:val="center"/>
      </w:pPr>
    </w:p>
    <w:p w:rsidR="0009693F" w:rsidRDefault="0009693F" w:rsidP="0009693F">
      <w:pPr>
        <w:pStyle w:val="BodyText"/>
        <w:ind w:left="60" w:right="497"/>
        <w:jc w:val="center"/>
      </w:pPr>
      <w:r>
        <w:t>Figure</w:t>
      </w:r>
      <w:r>
        <w:rPr>
          <w:spacing w:val="-8"/>
        </w:rPr>
        <w:t xml:space="preserve"> </w:t>
      </w:r>
      <w:r>
        <w:t>5.3</w:t>
      </w:r>
      <w:r>
        <w:t>:</w:t>
      </w:r>
      <w:r>
        <w:rPr>
          <w:spacing w:val="7"/>
        </w:rPr>
        <w:t xml:space="preserve"> </w:t>
      </w:r>
      <w:r>
        <w:t>Reading</w:t>
      </w:r>
      <w:r>
        <w:rPr>
          <w:spacing w:val="-7"/>
        </w:rPr>
        <w:t xml:space="preserve"> </w:t>
      </w:r>
      <w:r>
        <w:t>the</w:t>
      </w:r>
      <w:r>
        <w:rPr>
          <w:spacing w:val="-7"/>
        </w:rPr>
        <w:t xml:space="preserve"> </w:t>
      </w:r>
      <w:r>
        <w:t>csv</w:t>
      </w:r>
      <w:r>
        <w:rPr>
          <w:spacing w:val="-7"/>
        </w:rPr>
        <w:t xml:space="preserve"> </w:t>
      </w:r>
      <w:r>
        <w:t>file</w:t>
      </w:r>
    </w:p>
    <w:p w:rsidR="0009693F" w:rsidRDefault="0009693F" w:rsidP="0009693F">
      <w:pPr>
        <w:pStyle w:val="BodyText"/>
        <w:ind w:left="60" w:right="497"/>
        <w:jc w:val="center"/>
      </w:pPr>
    </w:p>
    <w:p w:rsidR="0009693F" w:rsidRDefault="0009693F" w:rsidP="0009693F">
      <w:pPr>
        <w:pStyle w:val="BodyText"/>
        <w:ind w:left="60" w:right="497"/>
        <w:jc w:val="center"/>
      </w:pPr>
      <w:r>
        <w:rPr>
          <w:noProof/>
          <w:lang w:val="en-IN" w:eastAsia="en-IN"/>
        </w:rPr>
        <w:lastRenderedPageBreak/>
        <w:drawing>
          <wp:inline distT="0" distB="0" distL="0" distR="0">
            <wp:extent cx="9194800" cy="22707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9-20 223445.png"/>
                    <pic:cNvPicPr/>
                  </pic:nvPicPr>
                  <pic:blipFill>
                    <a:blip r:embed="rId9">
                      <a:extLst>
                        <a:ext uri="{28A0092B-C50C-407E-A947-70E740481C1C}">
                          <a14:useLocalDpi xmlns:a14="http://schemas.microsoft.com/office/drawing/2010/main" val="0"/>
                        </a:ext>
                      </a:extLst>
                    </a:blip>
                    <a:stretch>
                      <a:fillRect/>
                    </a:stretch>
                  </pic:blipFill>
                  <pic:spPr>
                    <a:xfrm>
                      <a:off x="0" y="0"/>
                      <a:ext cx="9194800" cy="2270760"/>
                    </a:xfrm>
                    <a:prstGeom prst="rect">
                      <a:avLst/>
                    </a:prstGeom>
                  </pic:spPr>
                </pic:pic>
              </a:graphicData>
            </a:graphic>
          </wp:inline>
        </w:drawing>
      </w:r>
    </w:p>
    <w:p w:rsidR="0009693F" w:rsidRDefault="0009693F" w:rsidP="0009693F">
      <w:pPr>
        <w:pStyle w:val="BodyText"/>
        <w:ind w:left="60" w:right="497"/>
        <w:jc w:val="center"/>
      </w:pPr>
    </w:p>
    <w:p w:rsidR="0009693F" w:rsidRDefault="0009693F" w:rsidP="0009693F">
      <w:pPr>
        <w:pStyle w:val="BodyText"/>
        <w:ind w:left="60" w:right="497"/>
        <w:jc w:val="center"/>
      </w:pPr>
      <w:r>
        <w:t>Figure</w:t>
      </w:r>
      <w:r>
        <w:rPr>
          <w:spacing w:val="-8"/>
        </w:rPr>
        <w:t xml:space="preserve"> </w:t>
      </w:r>
      <w:r>
        <w:t>5.4</w:t>
      </w:r>
      <w:r>
        <w:t>:</w:t>
      </w:r>
      <w:r>
        <w:rPr>
          <w:spacing w:val="7"/>
        </w:rPr>
        <w:t xml:space="preserve"> </w:t>
      </w:r>
      <w:r w:rsidR="008A34B2">
        <w:t>Dataset Information</w:t>
      </w:r>
    </w:p>
    <w:p w:rsidR="008A34B2" w:rsidRDefault="008A34B2" w:rsidP="0009693F">
      <w:pPr>
        <w:pStyle w:val="BodyText"/>
        <w:ind w:left="60" w:right="497"/>
        <w:jc w:val="center"/>
      </w:pPr>
    </w:p>
    <w:p w:rsidR="008A34B2" w:rsidRDefault="008A34B2" w:rsidP="008A34B2">
      <w:pPr>
        <w:pStyle w:val="BodyText"/>
        <w:ind w:right="497"/>
      </w:pPr>
      <w:r>
        <w:rPr>
          <w:noProof/>
          <w:lang w:val="en-IN" w:eastAsia="en-IN"/>
        </w:rPr>
        <w:drawing>
          <wp:inline distT="0" distB="0" distL="0" distR="0">
            <wp:extent cx="9194800" cy="2133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9-20 223624.png"/>
                    <pic:cNvPicPr/>
                  </pic:nvPicPr>
                  <pic:blipFill>
                    <a:blip r:embed="rId10">
                      <a:extLst>
                        <a:ext uri="{28A0092B-C50C-407E-A947-70E740481C1C}">
                          <a14:useLocalDpi xmlns:a14="http://schemas.microsoft.com/office/drawing/2010/main" val="0"/>
                        </a:ext>
                      </a:extLst>
                    </a:blip>
                    <a:stretch>
                      <a:fillRect/>
                    </a:stretch>
                  </pic:blipFill>
                  <pic:spPr>
                    <a:xfrm>
                      <a:off x="0" y="0"/>
                      <a:ext cx="9194800" cy="2133600"/>
                    </a:xfrm>
                    <a:prstGeom prst="rect">
                      <a:avLst/>
                    </a:prstGeom>
                  </pic:spPr>
                </pic:pic>
              </a:graphicData>
            </a:graphic>
          </wp:inline>
        </w:drawing>
      </w:r>
    </w:p>
    <w:p w:rsidR="008A34B2" w:rsidRDefault="008A34B2" w:rsidP="008A34B2">
      <w:pPr>
        <w:pStyle w:val="BodyText"/>
        <w:ind w:left="60" w:right="497"/>
        <w:jc w:val="center"/>
      </w:pPr>
    </w:p>
    <w:p w:rsidR="008A34B2" w:rsidRDefault="008A34B2" w:rsidP="008A34B2">
      <w:pPr>
        <w:pStyle w:val="BodyText"/>
        <w:ind w:left="60" w:right="497"/>
        <w:jc w:val="center"/>
      </w:pPr>
      <w:r>
        <w:t>Figure</w:t>
      </w:r>
      <w:r>
        <w:rPr>
          <w:spacing w:val="-8"/>
        </w:rPr>
        <w:t xml:space="preserve"> </w:t>
      </w:r>
      <w:r>
        <w:t>5.5</w:t>
      </w:r>
      <w:r>
        <w:t>:</w:t>
      </w:r>
      <w:r>
        <w:rPr>
          <w:spacing w:val="7"/>
        </w:rPr>
        <w:t xml:space="preserve"> </w:t>
      </w:r>
      <w:r>
        <w:t>Missing/Null Values Count</w:t>
      </w:r>
    </w:p>
    <w:p w:rsidR="008A34B2" w:rsidRDefault="008A34B2" w:rsidP="008A34B2">
      <w:pPr>
        <w:pStyle w:val="BodyText"/>
        <w:ind w:left="60" w:right="497"/>
        <w:jc w:val="center"/>
      </w:pPr>
    </w:p>
    <w:p w:rsidR="008A34B2" w:rsidRDefault="008A34B2" w:rsidP="008A34B2">
      <w:pPr>
        <w:pStyle w:val="BodyText"/>
        <w:ind w:left="60" w:right="497"/>
        <w:jc w:val="center"/>
      </w:pPr>
    </w:p>
    <w:p w:rsidR="008A34B2" w:rsidRDefault="008A34B2" w:rsidP="008A34B2">
      <w:pPr>
        <w:pStyle w:val="BodyText"/>
        <w:ind w:left="60" w:right="497"/>
        <w:jc w:val="center"/>
      </w:pPr>
    </w:p>
    <w:p w:rsidR="008A34B2" w:rsidRDefault="008A34B2" w:rsidP="008A34B2">
      <w:pPr>
        <w:pStyle w:val="BodyText"/>
        <w:ind w:left="60" w:right="497"/>
        <w:jc w:val="center"/>
      </w:pPr>
      <w:r>
        <w:rPr>
          <w:noProof/>
          <w:lang w:val="en-IN" w:eastAsia="en-IN"/>
        </w:rPr>
        <w:lastRenderedPageBreak/>
        <w:drawing>
          <wp:inline distT="0" distB="0" distL="0" distR="0">
            <wp:extent cx="9194800" cy="533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9-20 223838.png"/>
                    <pic:cNvPicPr/>
                  </pic:nvPicPr>
                  <pic:blipFill>
                    <a:blip r:embed="rId11">
                      <a:extLst>
                        <a:ext uri="{28A0092B-C50C-407E-A947-70E740481C1C}">
                          <a14:useLocalDpi xmlns:a14="http://schemas.microsoft.com/office/drawing/2010/main" val="0"/>
                        </a:ext>
                      </a:extLst>
                    </a:blip>
                    <a:stretch>
                      <a:fillRect/>
                    </a:stretch>
                  </pic:blipFill>
                  <pic:spPr>
                    <a:xfrm>
                      <a:off x="0" y="0"/>
                      <a:ext cx="9194800" cy="533400"/>
                    </a:xfrm>
                    <a:prstGeom prst="rect">
                      <a:avLst/>
                    </a:prstGeom>
                  </pic:spPr>
                </pic:pic>
              </a:graphicData>
            </a:graphic>
          </wp:inline>
        </w:drawing>
      </w:r>
    </w:p>
    <w:p w:rsidR="008A34B2" w:rsidRDefault="008A34B2" w:rsidP="008A34B2">
      <w:pPr>
        <w:pStyle w:val="BodyText"/>
        <w:ind w:left="60" w:right="497"/>
        <w:jc w:val="center"/>
      </w:pPr>
    </w:p>
    <w:p w:rsidR="008A34B2" w:rsidRDefault="008A34B2" w:rsidP="008A34B2">
      <w:pPr>
        <w:pStyle w:val="BodyText"/>
        <w:ind w:left="60" w:right="497"/>
        <w:jc w:val="center"/>
      </w:pPr>
      <w:r>
        <w:t>Figure</w:t>
      </w:r>
      <w:r>
        <w:rPr>
          <w:spacing w:val="-8"/>
        </w:rPr>
        <w:t xml:space="preserve"> </w:t>
      </w:r>
      <w:r>
        <w:t>5.6</w:t>
      </w:r>
      <w:r>
        <w:t>:</w:t>
      </w:r>
      <w:r>
        <w:rPr>
          <w:spacing w:val="7"/>
        </w:rPr>
        <w:t xml:space="preserve"> </w:t>
      </w:r>
      <w:r>
        <w:t>Drop Null Values</w:t>
      </w:r>
    </w:p>
    <w:p w:rsidR="008A34B2" w:rsidRDefault="008A34B2" w:rsidP="008A34B2">
      <w:pPr>
        <w:pStyle w:val="BodyText"/>
        <w:ind w:left="60" w:right="497"/>
        <w:jc w:val="center"/>
      </w:pPr>
    </w:p>
    <w:p w:rsidR="00F2417C" w:rsidRDefault="00F2417C" w:rsidP="008A34B2">
      <w:pPr>
        <w:pStyle w:val="BodyText"/>
        <w:ind w:left="60" w:right="497"/>
        <w:jc w:val="center"/>
      </w:pPr>
    </w:p>
    <w:p w:rsidR="008A34B2" w:rsidRDefault="008A34B2" w:rsidP="008A34B2">
      <w:pPr>
        <w:pStyle w:val="BodyText"/>
        <w:ind w:left="60" w:right="497"/>
        <w:jc w:val="center"/>
      </w:pPr>
    </w:p>
    <w:p w:rsidR="008A34B2" w:rsidRDefault="00313DCB" w:rsidP="002844C1">
      <w:pPr>
        <w:pStyle w:val="BodyText"/>
        <w:numPr>
          <w:ilvl w:val="0"/>
          <w:numId w:val="1"/>
        </w:numPr>
        <w:ind w:right="497"/>
      </w:pPr>
      <w:r>
        <w:t xml:space="preserve">Which counties </w:t>
      </w:r>
      <w:r>
        <w:t>have the highest concentration of vehicles in Washington state, and how does this distribution influence vehicle import trends, market preferences, and the demand for international vehicle brands?</w:t>
      </w:r>
    </w:p>
    <w:p w:rsidR="002844C1" w:rsidRDefault="002844C1" w:rsidP="002844C1">
      <w:pPr>
        <w:pStyle w:val="BodyText"/>
        <w:ind w:left="420" w:right="497"/>
      </w:pPr>
    </w:p>
    <w:p w:rsidR="002844C1" w:rsidRDefault="002844C1" w:rsidP="002844C1">
      <w:pPr>
        <w:pStyle w:val="BodyText"/>
        <w:ind w:left="420" w:right="497"/>
      </w:pPr>
      <w:r>
        <w:rPr>
          <w:b/>
        </w:rPr>
        <w:t>Solution:</w:t>
      </w:r>
      <w:r>
        <w:rPr>
          <w:b/>
        </w:rPr>
        <w:tab/>
      </w:r>
      <w:r w:rsidR="000D3331">
        <w:t xml:space="preserve">Below code and figure </w:t>
      </w:r>
      <w:r w:rsidR="000D3331">
        <w:t>will be useful for policy-makers, car manufacturers, and dealerships aiming to better understand the global composition of vehicles on the road in Washington.</w:t>
      </w:r>
    </w:p>
    <w:p w:rsidR="000D3331" w:rsidRDefault="000D3331" w:rsidP="002844C1">
      <w:pPr>
        <w:pStyle w:val="BodyText"/>
        <w:ind w:left="420" w:right="497"/>
      </w:pPr>
    </w:p>
    <w:p w:rsidR="000D3331" w:rsidRDefault="000D3331" w:rsidP="002844C1">
      <w:pPr>
        <w:pStyle w:val="BodyText"/>
        <w:ind w:left="420" w:right="497"/>
      </w:pPr>
      <w:r>
        <w:rPr>
          <w:noProof/>
          <w:lang w:val="en-IN" w:eastAsia="en-IN"/>
        </w:rPr>
        <w:drawing>
          <wp:inline distT="0" distB="0" distL="0" distR="0">
            <wp:extent cx="9194800" cy="3009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9-20 231103.png"/>
                    <pic:cNvPicPr/>
                  </pic:nvPicPr>
                  <pic:blipFill>
                    <a:blip r:embed="rId12">
                      <a:extLst>
                        <a:ext uri="{28A0092B-C50C-407E-A947-70E740481C1C}">
                          <a14:useLocalDpi xmlns:a14="http://schemas.microsoft.com/office/drawing/2010/main" val="0"/>
                        </a:ext>
                      </a:extLst>
                    </a:blip>
                    <a:stretch>
                      <a:fillRect/>
                    </a:stretch>
                  </pic:blipFill>
                  <pic:spPr>
                    <a:xfrm>
                      <a:off x="0" y="0"/>
                      <a:ext cx="9194800" cy="3009900"/>
                    </a:xfrm>
                    <a:prstGeom prst="rect">
                      <a:avLst/>
                    </a:prstGeom>
                  </pic:spPr>
                </pic:pic>
              </a:graphicData>
            </a:graphic>
          </wp:inline>
        </w:drawing>
      </w:r>
    </w:p>
    <w:p w:rsidR="0090727A" w:rsidRDefault="0090727A" w:rsidP="000D3331">
      <w:pPr>
        <w:pStyle w:val="BodyText"/>
        <w:ind w:left="60" w:right="497"/>
        <w:jc w:val="center"/>
      </w:pPr>
    </w:p>
    <w:p w:rsidR="000D3331" w:rsidRDefault="000D3331" w:rsidP="000D3331">
      <w:pPr>
        <w:pStyle w:val="BodyText"/>
        <w:ind w:left="60" w:right="497"/>
        <w:jc w:val="center"/>
      </w:pPr>
      <w:r>
        <w:t>Figure</w:t>
      </w:r>
      <w:r>
        <w:rPr>
          <w:spacing w:val="-8"/>
        </w:rPr>
        <w:t xml:space="preserve"> </w:t>
      </w:r>
      <w:r>
        <w:t>5.7</w:t>
      </w:r>
    </w:p>
    <w:p w:rsidR="000D3331" w:rsidRDefault="000D3331" w:rsidP="002844C1">
      <w:pPr>
        <w:pStyle w:val="BodyText"/>
        <w:ind w:left="420" w:right="497"/>
      </w:pPr>
    </w:p>
    <w:p w:rsidR="000D3331" w:rsidRDefault="000D3331" w:rsidP="002844C1">
      <w:pPr>
        <w:pStyle w:val="BodyText"/>
        <w:ind w:left="420" w:right="497"/>
      </w:pPr>
    </w:p>
    <w:p w:rsidR="000D3331" w:rsidRDefault="000D3331" w:rsidP="002844C1">
      <w:pPr>
        <w:pStyle w:val="BodyText"/>
        <w:ind w:left="420" w:right="497"/>
      </w:pPr>
      <w:r>
        <w:rPr>
          <w:noProof/>
          <w:lang w:val="en-IN" w:eastAsia="en-IN"/>
        </w:rPr>
        <w:drawing>
          <wp:inline distT="0" distB="0" distL="0" distR="0">
            <wp:extent cx="9194800" cy="33451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9-20 231450.png"/>
                    <pic:cNvPicPr/>
                  </pic:nvPicPr>
                  <pic:blipFill>
                    <a:blip r:embed="rId13">
                      <a:extLst>
                        <a:ext uri="{28A0092B-C50C-407E-A947-70E740481C1C}">
                          <a14:useLocalDpi xmlns:a14="http://schemas.microsoft.com/office/drawing/2010/main" val="0"/>
                        </a:ext>
                      </a:extLst>
                    </a:blip>
                    <a:stretch>
                      <a:fillRect/>
                    </a:stretch>
                  </pic:blipFill>
                  <pic:spPr>
                    <a:xfrm>
                      <a:off x="0" y="0"/>
                      <a:ext cx="9194800" cy="3345180"/>
                    </a:xfrm>
                    <a:prstGeom prst="rect">
                      <a:avLst/>
                    </a:prstGeom>
                  </pic:spPr>
                </pic:pic>
              </a:graphicData>
            </a:graphic>
          </wp:inline>
        </w:drawing>
      </w:r>
    </w:p>
    <w:p w:rsidR="000D3331" w:rsidRDefault="000D3331" w:rsidP="000D3331">
      <w:pPr>
        <w:pStyle w:val="BodyText"/>
        <w:ind w:left="60" w:right="497"/>
        <w:jc w:val="center"/>
      </w:pPr>
    </w:p>
    <w:p w:rsidR="000D3331" w:rsidRDefault="000D3331" w:rsidP="000D3331">
      <w:pPr>
        <w:pStyle w:val="BodyText"/>
        <w:ind w:left="60" w:right="497"/>
        <w:jc w:val="center"/>
      </w:pPr>
      <w:r>
        <w:t>Figure</w:t>
      </w:r>
      <w:r>
        <w:rPr>
          <w:spacing w:val="-8"/>
        </w:rPr>
        <w:t xml:space="preserve"> </w:t>
      </w:r>
      <w:r>
        <w:t>5.8</w:t>
      </w:r>
    </w:p>
    <w:p w:rsidR="008A34B2" w:rsidRDefault="008A34B2" w:rsidP="008A34B2">
      <w:pPr>
        <w:pStyle w:val="BodyText"/>
        <w:ind w:right="497"/>
      </w:pPr>
    </w:p>
    <w:p w:rsidR="008A34B2" w:rsidRDefault="008A34B2" w:rsidP="008A34B2">
      <w:pPr>
        <w:pStyle w:val="BodyText"/>
        <w:ind w:right="497"/>
      </w:pPr>
    </w:p>
    <w:p w:rsidR="0009693F" w:rsidRDefault="000D3331" w:rsidP="000D3331">
      <w:pPr>
        <w:pStyle w:val="BodyText"/>
        <w:spacing w:before="4"/>
      </w:pPr>
      <w:r>
        <w:rPr>
          <w:b/>
        </w:rPr>
        <w:t xml:space="preserve">Conclusion - </w:t>
      </w:r>
      <w:r w:rsidR="00313DCB">
        <w:t>King County has the highest concentration of vehicles in Washington state, with 92,740 registered vehicles, making it the dominant region for vehicle ownership. Snohomish and Pierce counties follow with 21,001 and 13,782 vehicles, respectively, indicating that the Seattle metropolitan area is the primary hub for vehicle registrations. Clark and Thurston counties rank next, though their totals are significantly lower. The overall trend shows that urbanized counties have far higher vehicle concentrations compared to more rural regions like Benton and Skagit, reflecting population density and urban development patterns.</w:t>
      </w:r>
    </w:p>
    <w:p w:rsidR="00313DCB" w:rsidRDefault="00313DCB" w:rsidP="000D3331">
      <w:pPr>
        <w:pStyle w:val="BodyText"/>
        <w:spacing w:before="4"/>
      </w:pPr>
    </w:p>
    <w:p w:rsidR="00313DCB" w:rsidRDefault="00313DCB" w:rsidP="000D3331">
      <w:pPr>
        <w:pStyle w:val="BodyText"/>
        <w:spacing w:before="4"/>
      </w:pPr>
    </w:p>
    <w:p w:rsidR="00313DCB" w:rsidRDefault="00313DCB" w:rsidP="000D3331">
      <w:pPr>
        <w:pStyle w:val="BodyText"/>
        <w:spacing w:before="4"/>
      </w:pPr>
    </w:p>
    <w:p w:rsidR="00313DCB" w:rsidRDefault="00313DCB" w:rsidP="00313DCB">
      <w:pPr>
        <w:pStyle w:val="BodyText"/>
        <w:numPr>
          <w:ilvl w:val="0"/>
          <w:numId w:val="1"/>
        </w:numPr>
        <w:spacing w:before="4"/>
      </w:pPr>
      <w:r>
        <w:lastRenderedPageBreak/>
        <w:t>Which cities in Washington state have the highest concentration of registered vehicles, and how does this distribution impact local transportation infrastructure, environmental planning, and market potential for vehicle-related services?</w:t>
      </w:r>
    </w:p>
    <w:p w:rsidR="00313DCB" w:rsidRDefault="00313DCB" w:rsidP="00313DCB">
      <w:pPr>
        <w:pStyle w:val="BodyText"/>
        <w:spacing w:before="4"/>
        <w:ind w:left="420"/>
      </w:pPr>
    </w:p>
    <w:p w:rsidR="00313DCB" w:rsidRDefault="0090727A" w:rsidP="0090727A">
      <w:pPr>
        <w:pStyle w:val="BodyText"/>
        <w:spacing w:before="4"/>
        <w:ind w:left="420"/>
      </w:pPr>
      <w:r>
        <w:rPr>
          <w:b/>
        </w:rPr>
        <w:t>Solution:</w:t>
      </w:r>
      <w:r>
        <w:rPr>
          <w:b/>
        </w:rPr>
        <w:tab/>
      </w:r>
      <w:r>
        <w:t>Below code and figure will be useful for</w:t>
      </w:r>
      <w:r>
        <w:t xml:space="preserve"> </w:t>
      </w:r>
      <w:r>
        <w:t>analyzing the vehicle registration data to identify the top 10 cities by vehicle count. This will provide key insights into areas with high vehicle concentration, enabling better planning for transportation infrastructure and services.</w:t>
      </w:r>
    </w:p>
    <w:p w:rsidR="0090727A" w:rsidRDefault="0090727A" w:rsidP="0090727A">
      <w:pPr>
        <w:pStyle w:val="BodyText"/>
        <w:spacing w:before="4"/>
        <w:ind w:left="420"/>
        <w:rPr>
          <w:sz w:val="17"/>
        </w:rPr>
      </w:pPr>
    </w:p>
    <w:p w:rsidR="0090727A" w:rsidRDefault="0090727A" w:rsidP="0090727A">
      <w:pPr>
        <w:pStyle w:val="BodyText"/>
        <w:spacing w:before="4"/>
        <w:ind w:left="420"/>
        <w:rPr>
          <w:sz w:val="17"/>
        </w:rPr>
      </w:pPr>
    </w:p>
    <w:p w:rsidR="0090727A" w:rsidRDefault="0090727A" w:rsidP="0090727A">
      <w:pPr>
        <w:pStyle w:val="BodyText"/>
        <w:spacing w:before="4"/>
        <w:ind w:left="420"/>
        <w:rPr>
          <w:sz w:val="17"/>
        </w:rPr>
      </w:pPr>
      <w:r>
        <w:rPr>
          <w:noProof/>
          <w:sz w:val="17"/>
          <w:lang w:val="en-IN" w:eastAsia="en-IN"/>
        </w:rPr>
        <w:drawing>
          <wp:inline distT="0" distB="0" distL="0" distR="0">
            <wp:extent cx="9194800" cy="37033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9-20 233307.png"/>
                    <pic:cNvPicPr/>
                  </pic:nvPicPr>
                  <pic:blipFill>
                    <a:blip r:embed="rId14">
                      <a:extLst>
                        <a:ext uri="{28A0092B-C50C-407E-A947-70E740481C1C}">
                          <a14:useLocalDpi xmlns:a14="http://schemas.microsoft.com/office/drawing/2010/main" val="0"/>
                        </a:ext>
                      </a:extLst>
                    </a:blip>
                    <a:stretch>
                      <a:fillRect/>
                    </a:stretch>
                  </pic:blipFill>
                  <pic:spPr>
                    <a:xfrm>
                      <a:off x="0" y="0"/>
                      <a:ext cx="9194800" cy="3703320"/>
                    </a:xfrm>
                    <a:prstGeom prst="rect">
                      <a:avLst/>
                    </a:prstGeom>
                  </pic:spPr>
                </pic:pic>
              </a:graphicData>
            </a:graphic>
          </wp:inline>
        </w:drawing>
      </w:r>
    </w:p>
    <w:p w:rsidR="0090727A" w:rsidRDefault="0090727A" w:rsidP="0090727A">
      <w:pPr>
        <w:pStyle w:val="BodyText"/>
        <w:ind w:left="60" w:right="497"/>
        <w:jc w:val="center"/>
      </w:pPr>
    </w:p>
    <w:p w:rsidR="0090727A" w:rsidRDefault="0090727A" w:rsidP="0090727A">
      <w:pPr>
        <w:pStyle w:val="BodyText"/>
        <w:ind w:left="60" w:right="497"/>
        <w:jc w:val="center"/>
      </w:pPr>
      <w:r>
        <w:t>Figure</w:t>
      </w:r>
      <w:r>
        <w:rPr>
          <w:spacing w:val="-8"/>
        </w:rPr>
        <w:t xml:space="preserve"> </w:t>
      </w:r>
      <w:r>
        <w:t>5.9</w:t>
      </w:r>
    </w:p>
    <w:p w:rsidR="0090727A" w:rsidRDefault="0090727A" w:rsidP="0090727A">
      <w:pPr>
        <w:pStyle w:val="BodyText"/>
        <w:ind w:left="60" w:right="497"/>
        <w:jc w:val="center"/>
      </w:pPr>
    </w:p>
    <w:p w:rsidR="0090727A" w:rsidRDefault="0090727A" w:rsidP="0090727A">
      <w:pPr>
        <w:pStyle w:val="BodyText"/>
        <w:ind w:left="60" w:right="497"/>
        <w:jc w:val="center"/>
      </w:pPr>
    </w:p>
    <w:p w:rsidR="0090727A" w:rsidRDefault="0090727A" w:rsidP="0090727A">
      <w:pPr>
        <w:pStyle w:val="BodyText"/>
        <w:ind w:left="60" w:right="497"/>
        <w:jc w:val="center"/>
      </w:pPr>
    </w:p>
    <w:p w:rsidR="0090727A" w:rsidRDefault="0090727A" w:rsidP="0090727A">
      <w:pPr>
        <w:pStyle w:val="BodyText"/>
        <w:ind w:left="60" w:right="497"/>
        <w:jc w:val="center"/>
      </w:pPr>
    </w:p>
    <w:p w:rsidR="0090727A" w:rsidRDefault="0090727A" w:rsidP="0090727A">
      <w:pPr>
        <w:pStyle w:val="BodyText"/>
        <w:ind w:left="60" w:right="497"/>
        <w:jc w:val="center"/>
      </w:pPr>
      <w:r>
        <w:rPr>
          <w:noProof/>
          <w:lang w:val="en-IN" w:eastAsia="en-IN"/>
        </w:rPr>
        <w:lastRenderedPageBreak/>
        <w:drawing>
          <wp:inline distT="0" distB="0" distL="0" distR="0">
            <wp:extent cx="9194800" cy="35890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9-20 233407.png"/>
                    <pic:cNvPicPr/>
                  </pic:nvPicPr>
                  <pic:blipFill>
                    <a:blip r:embed="rId15">
                      <a:extLst>
                        <a:ext uri="{28A0092B-C50C-407E-A947-70E740481C1C}">
                          <a14:useLocalDpi xmlns:a14="http://schemas.microsoft.com/office/drawing/2010/main" val="0"/>
                        </a:ext>
                      </a:extLst>
                    </a:blip>
                    <a:stretch>
                      <a:fillRect/>
                    </a:stretch>
                  </pic:blipFill>
                  <pic:spPr>
                    <a:xfrm>
                      <a:off x="0" y="0"/>
                      <a:ext cx="9194800" cy="3589020"/>
                    </a:xfrm>
                    <a:prstGeom prst="rect">
                      <a:avLst/>
                    </a:prstGeom>
                  </pic:spPr>
                </pic:pic>
              </a:graphicData>
            </a:graphic>
          </wp:inline>
        </w:drawing>
      </w:r>
    </w:p>
    <w:p w:rsidR="0090727A" w:rsidRDefault="0090727A" w:rsidP="0090727A">
      <w:pPr>
        <w:pStyle w:val="BodyText"/>
        <w:ind w:left="60" w:right="497"/>
        <w:jc w:val="center"/>
      </w:pPr>
    </w:p>
    <w:p w:rsidR="0090727A" w:rsidRDefault="0090727A" w:rsidP="0090727A">
      <w:pPr>
        <w:pStyle w:val="BodyText"/>
        <w:ind w:left="60" w:right="497"/>
        <w:jc w:val="center"/>
      </w:pPr>
      <w:r>
        <w:t>Figure</w:t>
      </w:r>
      <w:r>
        <w:rPr>
          <w:spacing w:val="-8"/>
        </w:rPr>
        <w:t xml:space="preserve"> </w:t>
      </w:r>
      <w:r>
        <w:t>5.10</w:t>
      </w:r>
    </w:p>
    <w:p w:rsidR="0090727A" w:rsidRDefault="0090727A" w:rsidP="0090727A">
      <w:pPr>
        <w:pStyle w:val="BodyText"/>
        <w:ind w:left="60" w:right="497"/>
        <w:jc w:val="center"/>
      </w:pPr>
    </w:p>
    <w:p w:rsidR="0090727A" w:rsidRDefault="0090727A" w:rsidP="0090727A">
      <w:pPr>
        <w:pStyle w:val="BodyText"/>
        <w:ind w:left="60" w:right="497"/>
        <w:jc w:val="center"/>
      </w:pPr>
    </w:p>
    <w:p w:rsidR="0090727A" w:rsidRDefault="0090727A" w:rsidP="0090727A">
      <w:pPr>
        <w:pStyle w:val="BodyText"/>
        <w:spacing w:before="4"/>
      </w:pPr>
      <w:r>
        <w:rPr>
          <w:b/>
        </w:rPr>
        <w:t xml:space="preserve">Conclusion - </w:t>
      </w:r>
      <w:r>
        <w:t>Seattle has the highest number of registered vehicles, with 29,447, significantly surpassing the other cities in Washington. Bellevue and Redmond follow, but with much lower counts, highlighting Seattle's dominance in vehicle registrations. The data suggests that urban areas, particularly those near tech hubs like Bellevue and Redmond, have a higher vehicle concentration, while cities like Olympia and Tacoma show a more moderate vehicle count.</w:t>
      </w:r>
    </w:p>
    <w:p w:rsidR="0090727A" w:rsidRDefault="0090727A" w:rsidP="0090727A">
      <w:pPr>
        <w:pStyle w:val="BodyText"/>
        <w:spacing w:before="4"/>
        <w:ind w:left="420"/>
        <w:rPr>
          <w:sz w:val="17"/>
        </w:rPr>
      </w:pPr>
    </w:p>
    <w:p w:rsidR="004D23A1" w:rsidRDefault="004D23A1" w:rsidP="0090727A">
      <w:pPr>
        <w:pStyle w:val="BodyText"/>
        <w:spacing w:before="4"/>
        <w:ind w:left="420"/>
        <w:rPr>
          <w:sz w:val="17"/>
        </w:rPr>
      </w:pPr>
    </w:p>
    <w:p w:rsidR="004D23A1" w:rsidRDefault="004D23A1" w:rsidP="0090727A">
      <w:pPr>
        <w:pStyle w:val="BodyText"/>
        <w:spacing w:before="4"/>
        <w:ind w:left="420"/>
        <w:rPr>
          <w:sz w:val="17"/>
        </w:rPr>
      </w:pPr>
    </w:p>
    <w:p w:rsidR="004D23A1" w:rsidRDefault="004D23A1" w:rsidP="0090727A">
      <w:pPr>
        <w:pStyle w:val="BodyText"/>
        <w:spacing w:before="4"/>
        <w:ind w:left="420"/>
        <w:rPr>
          <w:sz w:val="17"/>
        </w:rPr>
      </w:pPr>
    </w:p>
    <w:p w:rsidR="004D23A1" w:rsidRDefault="004D23A1" w:rsidP="0090727A">
      <w:pPr>
        <w:pStyle w:val="BodyText"/>
        <w:spacing w:before="4"/>
        <w:ind w:left="420"/>
        <w:rPr>
          <w:sz w:val="17"/>
        </w:rPr>
      </w:pPr>
    </w:p>
    <w:p w:rsidR="004D23A1" w:rsidRDefault="004D23A1" w:rsidP="0090727A">
      <w:pPr>
        <w:pStyle w:val="BodyText"/>
        <w:spacing w:before="4"/>
        <w:ind w:left="420"/>
        <w:rPr>
          <w:sz w:val="17"/>
        </w:rPr>
      </w:pPr>
    </w:p>
    <w:p w:rsidR="004D23A1" w:rsidRDefault="004D23A1" w:rsidP="0090727A">
      <w:pPr>
        <w:pStyle w:val="BodyText"/>
        <w:spacing w:before="4"/>
        <w:ind w:left="420"/>
        <w:rPr>
          <w:sz w:val="17"/>
        </w:rPr>
      </w:pPr>
    </w:p>
    <w:p w:rsidR="004D23A1" w:rsidRPr="00EF5D46" w:rsidRDefault="00EF5D46" w:rsidP="00EF5D46">
      <w:pPr>
        <w:pStyle w:val="BodyText"/>
        <w:numPr>
          <w:ilvl w:val="0"/>
          <w:numId w:val="1"/>
        </w:numPr>
        <w:spacing w:before="4"/>
        <w:rPr>
          <w:sz w:val="17"/>
        </w:rPr>
      </w:pPr>
      <w:r>
        <w:lastRenderedPageBreak/>
        <w:t>How does the price of electric vehicles vary across different model years, and what factors contribute to these price fluctuations over time?</w:t>
      </w:r>
    </w:p>
    <w:p w:rsidR="00EF5D46" w:rsidRDefault="00EF5D46" w:rsidP="00EF5D46">
      <w:pPr>
        <w:pStyle w:val="BodyText"/>
        <w:spacing w:before="4"/>
      </w:pPr>
    </w:p>
    <w:p w:rsidR="00EF5D46" w:rsidRDefault="00EF5D46" w:rsidP="00DA3921">
      <w:pPr>
        <w:pStyle w:val="BodyText"/>
        <w:spacing w:before="4"/>
        <w:ind w:left="420"/>
      </w:pPr>
      <w:r>
        <w:rPr>
          <w:b/>
        </w:rPr>
        <w:t>Solution:</w:t>
      </w:r>
      <w:r>
        <w:rPr>
          <w:b/>
        </w:rPr>
        <w:t xml:space="preserve"> </w:t>
      </w:r>
      <w:r>
        <w:t>Below code and figure will be useful for analyzing</w:t>
      </w:r>
      <w:r>
        <w:t xml:space="preserve"> </w:t>
      </w:r>
      <w:r>
        <w:t>how electric vehicle (EV) prices vary by model year to identify price trends over time. This analysis can help reveal factors like technological advancements, manufacturing costs, and market demand that impact EV pricing. It will assist manufacturers, consumers, and policymakers in understanding pricing patterns and making more informed decisions on EV adoption and incentives.</w:t>
      </w:r>
    </w:p>
    <w:p w:rsidR="00EF5D46" w:rsidRDefault="00EF5D46" w:rsidP="00EF5D46">
      <w:pPr>
        <w:pStyle w:val="BodyText"/>
        <w:spacing w:before="4"/>
      </w:pPr>
    </w:p>
    <w:p w:rsidR="00EF5D46" w:rsidRDefault="00EF5D46" w:rsidP="00EF5D46">
      <w:pPr>
        <w:pStyle w:val="BodyText"/>
        <w:spacing w:before="4"/>
      </w:pPr>
      <w:r>
        <w:rPr>
          <w:noProof/>
          <w:lang w:val="en-IN" w:eastAsia="en-IN"/>
        </w:rPr>
        <w:drawing>
          <wp:inline distT="0" distB="0" distL="0" distR="0">
            <wp:extent cx="9194800" cy="32461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9-21 001044.png"/>
                    <pic:cNvPicPr/>
                  </pic:nvPicPr>
                  <pic:blipFill>
                    <a:blip r:embed="rId16">
                      <a:extLst>
                        <a:ext uri="{28A0092B-C50C-407E-A947-70E740481C1C}">
                          <a14:useLocalDpi xmlns:a14="http://schemas.microsoft.com/office/drawing/2010/main" val="0"/>
                        </a:ext>
                      </a:extLst>
                    </a:blip>
                    <a:stretch>
                      <a:fillRect/>
                    </a:stretch>
                  </pic:blipFill>
                  <pic:spPr>
                    <a:xfrm>
                      <a:off x="0" y="0"/>
                      <a:ext cx="9194800" cy="3246120"/>
                    </a:xfrm>
                    <a:prstGeom prst="rect">
                      <a:avLst/>
                    </a:prstGeom>
                  </pic:spPr>
                </pic:pic>
              </a:graphicData>
            </a:graphic>
          </wp:inline>
        </w:drawing>
      </w:r>
    </w:p>
    <w:p w:rsidR="00EF5D46" w:rsidRDefault="00EF5D46" w:rsidP="00EF5D46">
      <w:pPr>
        <w:pStyle w:val="BodyText"/>
        <w:spacing w:before="4"/>
      </w:pPr>
    </w:p>
    <w:p w:rsidR="00EF5D46" w:rsidRDefault="00EF5D46" w:rsidP="00EF5D46">
      <w:pPr>
        <w:pStyle w:val="BodyText"/>
        <w:ind w:left="60" w:right="497"/>
        <w:jc w:val="center"/>
      </w:pPr>
      <w:r>
        <w:t>Figure</w:t>
      </w:r>
      <w:r>
        <w:rPr>
          <w:spacing w:val="-8"/>
        </w:rPr>
        <w:t xml:space="preserve"> </w:t>
      </w:r>
      <w:r>
        <w:t>5.11</w:t>
      </w:r>
    </w:p>
    <w:p w:rsidR="00EF5D46" w:rsidRDefault="00EF5D46" w:rsidP="00EF5D46">
      <w:pPr>
        <w:pStyle w:val="BodyText"/>
        <w:spacing w:before="4"/>
        <w:rPr>
          <w:sz w:val="17"/>
        </w:rPr>
      </w:pPr>
    </w:p>
    <w:p w:rsidR="00EF5D46" w:rsidRDefault="00EF5D46" w:rsidP="00EF5D46">
      <w:pPr>
        <w:pStyle w:val="BodyText"/>
        <w:spacing w:before="4"/>
      </w:pPr>
      <w:r>
        <w:rPr>
          <w:b/>
        </w:rPr>
        <w:t>Conclusion -</w:t>
      </w:r>
      <w:r>
        <w:rPr>
          <w:b/>
        </w:rPr>
        <w:t xml:space="preserve"> </w:t>
      </w:r>
      <w:r>
        <w:t>E</w:t>
      </w:r>
      <w:r>
        <w:t>arly model years, particularly between 2008 and 2010, had significantly higher prices, with 2008 and 2010 models priced around $98,950 and $100,781, respectively. However, there is a sharp decline in prices for model years after 2011, with many years, including 2021-2024, having zero or minimal prices recorded. This suggests that older EVs were initially more expensive, and either prices have fallen significantly in recent years or the data lacks more recent vehicle prices.</w:t>
      </w:r>
    </w:p>
    <w:p w:rsidR="00EF5D46" w:rsidRDefault="00EF5D46" w:rsidP="00EF5D46">
      <w:pPr>
        <w:pStyle w:val="BodyText"/>
        <w:spacing w:before="4"/>
      </w:pPr>
    </w:p>
    <w:p w:rsidR="00EF5D46" w:rsidRDefault="00B31E74" w:rsidP="00DA3921">
      <w:pPr>
        <w:pStyle w:val="BodyText"/>
        <w:spacing w:before="4"/>
        <w:ind w:left="720" w:hanging="720"/>
      </w:pPr>
      <w:r>
        <w:rPr>
          <w:sz w:val="17"/>
        </w:rPr>
        <w:lastRenderedPageBreak/>
        <w:t>4.</w:t>
      </w:r>
      <w:r>
        <w:rPr>
          <w:sz w:val="17"/>
        </w:rPr>
        <w:tab/>
      </w:r>
      <w:r w:rsidR="00DA3921">
        <w:t>Which vehicle types are most eligible for Clean Alternative Fuel Vehicle (CAFV) incentives, and how does this distribution affect the adoption of eco-friendly vehicles in different categories</w:t>
      </w:r>
      <w:r w:rsidR="00DA3921">
        <w:t>.</w:t>
      </w:r>
    </w:p>
    <w:p w:rsidR="00DA3921" w:rsidRDefault="00DA3921" w:rsidP="00DA3921">
      <w:pPr>
        <w:pStyle w:val="BodyText"/>
        <w:spacing w:before="4"/>
        <w:ind w:left="720" w:hanging="720"/>
      </w:pPr>
    </w:p>
    <w:p w:rsidR="00DA3921" w:rsidRDefault="00DA3921" w:rsidP="00DA3921">
      <w:pPr>
        <w:pStyle w:val="BodyText"/>
        <w:spacing w:before="4"/>
        <w:ind w:left="720" w:hanging="720"/>
      </w:pPr>
    </w:p>
    <w:p w:rsidR="00DA3921" w:rsidRDefault="00DA3921" w:rsidP="00DA3921">
      <w:pPr>
        <w:pStyle w:val="BodyText"/>
        <w:spacing w:before="4"/>
        <w:ind w:left="720"/>
      </w:pPr>
      <w:r>
        <w:rPr>
          <w:b/>
        </w:rPr>
        <w:t xml:space="preserve">Solution: </w:t>
      </w:r>
      <w:r>
        <w:t>Below code and figure will be useful for analyzing</w:t>
      </w:r>
      <w:r>
        <w:t xml:space="preserve"> </w:t>
      </w:r>
      <w:r>
        <w:t>increase the adoption of Clean Alternative Fuel Vehicles (CAFVs) across various vehicle categories, focus should be placed on promoting and incentivizing eligibility for diverse vehicle types, such as electric SUVs, trucks, and sedans. Policymakers and manufacturers can enhance awareness, offer incentives, and expand the range of eligible vehicles to encourage broader adoption and support the transition to cleaner, eco-friendly transportation.</w:t>
      </w:r>
    </w:p>
    <w:p w:rsidR="00DA3921" w:rsidRDefault="00DA3921" w:rsidP="00DA3921">
      <w:pPr>
        <w:pStyle w:val="BodyText"/>
        <w:spacing w:before="4"/>
        <w:ind w:left="720"/>
        <w:rPr>
          <w:sz w:val="17"/>
        </w:rPr>
      </w:pPr>
    </w:p>
    <w:p w:rsidR="00DA3921" w:rsidRDefault="00DA3921" w:rsidP="00DA3921">
      <w:pPr>
        <w:pStyle w:val="BodyText"/>
        <w:spacing w:before="4"/>
        <w:ind w:left="720"/>
        <w:rPr>
          <w:sz w:val="17"/>
        </w:rPr>
      </w:pPr>
    </w:p>
    <w:p w:rsidR="00DA3921" w:rsidRDefault="00DA3921" w:rsidP="00DA3921">
      <w:pPr>
        <w:pStyle w:val="BodyText"/>
        <w:spacing w:before="4"/>
        <w:ind w:left="720"/>
        <w:rPr>
          <w:sz w:val="17"/>
        </w:rPr>
      </w:pPr>
      <w:r>
        <w:rPr>
          <w:noProof/>
          <w:sz w:val="17"/>
          <w:lang w:val="en-IN" w:eastAsia="en-IN"/>
        </w:rPr>
        <w:drawing>
          <wp:inline distT="0" distB="0" distL="0" distR="0">
            <wp:extent cx="9075420" cy="355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9-21 002221.png"/>
                    <pic:cNvPicPr/>
                  </pic:nvPicPr>
                  <pic:blipFill>
                    <a:blip r:embed="rId17">
                      <a:extLst>
                        <a:ext uri="{28A0092B-C50C-407E-A947-70E740481C1C}">
                          <a14:useLocalDpi xmlns:a14="http://schemas.microsoft.com/office/drawing/2010/main" val="0"/>
                        </a:ext>
                      </a:extLst>
                    </a:blip>
                    <a:stretch>
                      <a:fillRect/>
                    </a:stretch>
                  </pic:blipFill>
                  <pic:spPr>
                    <a:xfrm>
                      <a:off x="0" y="0"/>
                      <a:ext cx="9075420" cy="3550920"/>
                    </a:xfrm>
                    <a:prstGeom prst="rect">
                      <a:avLst/>
                    </a:prstGeom>
                  </pic:spPr>
                </pic:pic>
              </a:graphicData>
            </a:graphic>
          </wp:inline>
        </w:drawing>
      </w:r>
    </w:p>
    <w:p w:rsidR="00DA3921" w:rsidRDefault="00DA3921" w:rsidP="00DA3921">
      <w:pPr>
        <w:pStyle w:val="BodyText"/>
        <w:ind w:left="60" w:right="497"/>
        <w:jc w:val="center"/>
      </w:pPr>
    </w:p>
    <w:p w:rsidR="00DA3921" w:rsidRDefault="00DA3921" w:rsidP="00DA3921">
      <w:pPr>
        <w:pStyle w:val="BodyText"/>
        <w:ind w:left="60" w:right="497"/>
        <w:jc w:val="center"/>
      </w:pPr>
      <w:r>
        <w:t>Figure</w:t>
      </w:r>
      <w:r>
        <w:rPr>
          <w:spacing w:val="-8"/>
        </w:rPr>
        <w:t xml:space="preserve"> </w:t>
      </w:r>
      <w:r>
        <w:t>5.12</w:t>
      </w:r>
    </w:p>
    <w:p w:rsidR="00DA3921" w:rsidRDefault="00DA3921" w:rsidP="00DA3921">
      <w:pPr>
        <w:pStyle w:val="BodyText"/>
        <w:spacing w:before="4"/>
        <w:ind w:left="720"/>
        <w:rPr>
          <w:sz w:val="17"/>
        </w:rPr>
      </w:pPr>
    </w:p>
    <w:p w:rsidR="00DA3921" w:rsidRDefault="00DA3921" w:rsidP="00DA3921">
      <w:pPr>
        <w:pStyle w:val="BodyText"/>
        <w:spacing w:before="4"/>
        <w:ind w:left="720"/>
        <w:rPr>
          <w:sz w:val="17"/>
        </w:rPr>
      </w:pPr>
    </w:p>
    <w:p w:rsidR="00B31E74" w:rsidRDefault="00DA3921" w:rsidP="00B31E74">
      <w:pPr>
        <w:pStyle w:val="BodyText"/>
        <w:spacing w:before="4"/>
        <w:ind w:left="720"/>
      </w:pPr>
      <w:r>
        <w:rPr>
          <w:b/>
        </w:rPr>
        <w:lastRenderedPageBreak/>
        <w:t>Conclusion -</w:t>
      </w:r>
      <w:r>
        <w:rPr>
          <w:b/>
        </w:rPr>
        <w:t xml:space="preserve"> </w:t>
      </w:r>
      <w:r>
        <w:t xml:space="preserve">Clean Alternative Fuel Vehicle (CAFV) eligibility, we observe that a significant number of Battery Electric Vehicles (BEVs), 47,149, are eligible for CAFV incentives, while 91,790 BEVs have unknown eligibility due to unresearched battery range. Only a small portion (8 vehicles) is ineligible. In contrast, for Plug-in Hybrid Electric Vehicles (PHEVs), 19,017 are CAFV-eligible, but a considerable number, 19,509, are not eligible due to low battery range. This suggests that BEVs generally have better eligibility, though a large number of vehicles need further </w:t>
      </w:r>
      <w:r w:rsidR="00B31E74">
        <w:t>research on battery performance.</w:t>
      </w:r>
    </w:p>
    <w:p w:rsidR="00B31E74" w:rsidRDefault="00B31E74" w:rsidP="00B31E74">
      <w:pPr>
        <w:pStyle w:val="BodyText"/>
        <w:spacing w:before="4"/>
        <w:ind w:left="720"/>
      </w:pPr>
    </w:p>
    <w:p w:rsidR="00B31E74" w:rsidRDefault="00B31E74" w:rsidP="00B31E74">
      <w:pPr>
        <w:pStyle w:val="BodyText"/>
        <w:spacing w:before="4"/>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p>
    <w:p w:rsidR="00B31E74" w:rsidRDefault="00B31E74" w:rsidP="00B31E74">
      <w:pPr>
        <w:pStyle w:val="BodyText"/>
        <w:spacing w:before="4"/>
        <w:ind w:left="720" w:hanging="720"/>
      </w:pPr>
      <w:r w:rsidRPr="00B31E74">
        <w:lastRenderedPageBreak/>
        <w:t>5.</w:t>
      </w:r>
      <w:r>
        <w:tab/>
      </w:r>
      <w:r>
        <w:t>What are the differences in average electric range across various car manufacturers, and how do these variations impact consumer preferences for electric vehicles?</w:t>
      </w:r>
      <w:r>
        <w:tab/>
        <w:t xml:space="preserve"> </w:t>
      </w:r>
    </w:p>
    <w:p w:rsidR="00B31E74" w:rsidRDefault="00B31E74" w:rsidP="00B31E74">
      <w:pPr>
        <w:pStyle w:val="BodyText"/>
        <w:spacing w:before="4"/>
        <w:ind w:left="720"/>
        <w:rPr>
          <w:sz w:val="17"/>
        </w:rPr>
      </w:pPr>
    </w:p>
    <w:p w:rsidR="00B31E74" w:rsidRDefault="00B31E74" w:rsidP="00B31E74">
      <w:pPr>
        <w:pStyle w:val="BodyText"/>
        <w:spacing w:before="4"/>
        <w:ind w:left="720"/>
        <w:rPr>
          <w:sz w:val="17"/>
        </w:rPr>
      </w:pPr>
    </w:p>
    <w:p w:rsidR="00B31E74" w:rsidRDefault="00B31E74" w:rsidP="00B31E74">
      <w:pPr>
        <w:pStyle w:val="BodyText"/>
        <w:spacing w:before="4"/>
        <w:ind w:left="720"/>
      </w:pPr>
      <w:r>
        <w:rPr>
          <w:b/>
        </w:rPr>
        <w:t xml:space="preserve">Solution: </w:t>
      </w:r>
      <w:r>
        <w:t>Below code and figure will be useful for analyzing</w:t>
      </w:r>
      <w:r>
        <w:t xml:space="preserve"> </w:t>
      </w:r>
      <w:r>
        <w:t>electric range varies significantly across different car manufacturers. Brands with higher average electric ranges may attract more consumers due to the longer driving distance on a single charge, which is a key factor in electric vehicle (EV) adoption. Manufacturers with lower ranges might need to focus on improving battery efficiency or targeting specific markets where range is less of a priority. By analyzing these ranges, manufacturers can optimize their product offerings to align with market demands for longer-range electric vehicles.</w:t>
      </w:r>
    </w:p>
    <w:p w:rsidR="00B31E74" w:rsidRDefault="00B31E74" w:rsidP="00B31E74">
      <w:pPr>
        <w:pStyle w:val="BodyText"/>
        <w:spacing w:before="4"/>
        <w:ind w:left="720"/>
      </w:pPr>
    </w:p>
    <w:p w:rsidR="00B31E74" w:rsidRDefault="00B31E74" w:rsidP="00B31E74">
      <w:pPr>
        <w:pStyle w:val="BodyText"/>
        <w:spacing w:before="4"/>
        <w:ind w:left="720"/>
      </w:pPr>
    </w:p>
    <w:p w:rsidR="00B31E74" w:rsidRDefault="00B31E74" w:rsidP="00B31E74">
      <w:pPr>
        <w:pStyle w:val="BodyText"/>
        <w:spacing w:before="4"/>
        <w:ind w:left="720"/>
      </w:pPr>
      <w:r>
        <w:rPr>
          <w:noProof/>
          <w:lang w:val="en-IN" w:eastAsia="en-IN"/>
        </w:rPr>
        <w:drawing>
          <wp:inline distT="0" distB="0" distL="0" distR="0">
            <wp:extent cx="8854440" cy="35128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9-21 003416.png"/>
                    <pic:cNvPicPr/>
                  </pic:nvPicPr>
                  <pic:blipFill>
                    <a:blip r:embed="rId18">
                      <a:extLst>
                        <a:ext uri="{28A0092B-C50C-407E-A947-70E740481C1C}">
                          <a14:useLocalDpi xmlns:a14="http://schemas.microsoft.com/office/drawing/2010/main" val="0"/>
                        </a:ext>
                      </a:extLst>
                    </a:blip>
                    <a:stretch>
                      <a:fillRect/>
                    </a:stretch>
                  </pic:blipFill>
                  <pic:spPr>
                    <a:xfrm>
                      <a:off x="0" y="0"/>
                      <a:ext cx="8854440" cy="3512820"/>
                    </a:xfrm>
                    <a:prstGeom prst="rect">
                      <a:avLst/>
                    </a:prstGeom>
                  </pic:spPr>
                </pic:pic>
              </a:graphicData>
            </a:graphic>
          </wp:inline>
        </w:drawing>
      </w:r>
      <w:r>
        <w:tab/>
      </w:r>
    </w:p>
    <w:p w:rsidR="00E605A5" w:rsidRDefault="00E605A5" w:rsidP="00E605A5">
      <w:pPr>
        <w:pStyle w:val="BodyText"/>
        <w:ind w:left="60" w:right="497"/>
        <w:jc w:val="center"/>
      </w:pPr>
    </w:p>
    <w:p w:rsidR="00E605A5" w:rsidRDefault="00E605A5" w:rsidP="00E605A5">
      <w:pPr>
        <w:pStyle w:val="BodyText"/>
        <w:ind w:left="60" w:right="497"/>
        <w:jc w:val="center"/>
      </w:pPr>
      <w:r>
        <w:t>Figure</w:t>
      </w:r>
      <w:r>
        <w:rPr>
          <w:spacing w:val="-8"/>
        </w:rPr>
        <w:t xml:space="preserve"> </w:t>
      </w:r>
      <w:r>
        <w:t>5.13</w:t>
      </w:r>
    </w:p>
    <w:p w:rsidR="00E605A5" w:rsidRDefault="00E605A5" w:rsidP="00E605A5">
      <w:pPr>
        <w:pStyle w:val="BodyText"/>
        <w:ind w:left="60" w:right="497"/>
        <w:jc w:val="center"/>
      </w:pPr>
    </w:p>
    <w:p w:rsidR="00B31E74" w:rsidRDefault="00B31E74" w:rsidP="00B31E74">
      <w:pPr>
        <w:pStyle w:val="BodyText"/>
        <w:spacing w:before="4"/>
        <w:ind w:left="720"/>
      </w:pPr>
    </w:p>
    <w:p w:rsidR="00B31E74" w:rsidRDefault="00E605A5" w:rsidP="00B31E74">
      <w:pPr>
        <w:pStyle w:val="BodyText"/>
        <w:spacing w:before="4"/>
        <w:ind w:left="720"/>
      </w:pPr>
      <w:r>
        <w:rPr>
          <w:b/>
        </w:rPr>
        <w:t>Conclusion -</w:t>
      </w:r>
      <w:r>
        <w:rPr>
          <w:b/>
        </w:rPr>
        <w:t xml:space="preserve"> </w:t>
      </w:r>
      <w:r>
        <w:t>average electric range by make reveals significant variation among manufacturers. Brands like Jaguar, with an exceptionally high average range of over 200 miles, and Tesla, with over 77 miles, lead the market in terms of electric vehicle range. Conversely, luxury and high-performance brands like Rolls Royce, Lucid, and GMC show zero or near-zero electric range, indicating their minimal focus on electric vehicles. This insight highlights that certain manufacturers, especially luxury brands, may still have limited offerings in the EV market, while others, particularly Tesla, Nissan, and Chevrolet, are prioritizing long-range electric vehicles.</w:t>
      </w:r>
    </w:p>
    <w:p w:rsidR="00517BBC" w:rsidRDefault="00517BBC" w:rsidP="00B31E74">
      <w:pPr>
        <w:pStyle w:val="BodyText"/>
        <w:spacing w:before="4"/>
        <w:ind w:left="720"/>
      </w:pPr>
    </w:p>
    <w:p w:rsidR="00517BBC" w:rsidRDefault="00517BBC" w:rsidP="00B31E74">
      <w:pPr>
        <w:pStyle w:val="BodyText"/>
        <w:spacing w:before="4"/>
        <w:ind w:left="720"/>
      </w:pPr>
    </w:p>
    <w:p w:rsidR="00517BBC" w:rsidRDefault="00517BBC" w:rsidP="00517BBC">
      <w:pPr>
        <w:pStyle w:val="BodyText"/>
        <w:spacing w:before="4"/>
        <w:ind w:left="720" w:hanging="720"/>
      </w:pPr>
      <w:r>
        <w:t>6.</w:t>
      </w:r>
      <w:r>
        <w:tab/>
      </w:r>
      <w:r>
        <w:t>What is the trend in electric vehicle (EV) registration growth over the years, and which years have seen the highest or lowest growth rates?</w:t>
      </w:r>
      <w:r>
        <w:br/>
      </w:r>
    </w:p>
    <w:p w:rsidR="00517BBC" w:rsidRDefault="00517BBC" w:rsidP="00517BBC">
      <w:pPr>
        <w:pStyle w:val="BodyText"/>
        <w:spacing w:before="4"/>
        <w:ind w:left="720" w:hanging="720"/>
      </w:pPr>
      <w:r>
        <w:tab/>
      </w:r>
      <w:r>
        <w:rPr>
          <w:b/>
        </w:rPr>
        <w:t xml:space="preserve">Solution: </w:t>
      </w:r>
      <w:r>
        <w:t>Below code and figure will be useful for analyzing</w:t>
      </w:r>
      <w:r>
        <w:t xml:space="preserve"> </w:t>
      </w:r>
      <w:r>
        <w:t>the "EV Registration Growth Rate by Year" insight involves calculating the year-over-year percentage growth in EV registrations. This will highlight trends such as periods of rapid growth, steady increases, or stagnation.</w:t>
      </w:r>
    </w:p>
    <w:p w:rsidR="00517BBC" w:rsidRDefault="00517BBC" w:rsidP="00517BBC">
      <w:pPr>
        <w:pStyle w:val="BodyText"/>
        <w:spacing w:before="4"/>
        <w:ind w:left="720" w:hanging="720"/>
      </w:pPr>
    </w:p>
    <w:p w:rsidR="00517BBC" w:rsidRDefault="00517BBC" w:rsidP="00517BBC">
      <w:pPr>
        <w:pStyle w:val="BodyText"/>
        <w:ind w:left="60" w:right="497"/>
        <w:jc w:val="center"/>
      </w:pPr>
      <w:r>
        <w:tab/>
      </w:r>
      <w:r>
        <w:rPr>
          <w:noProof/>
          <w:lang w:val="en-IN" w:eastAsia="en-IN"/>
        </w:rPr>
        <w:drawing>
          <wp:inline distT="0" distB="0" distL="0" distR="0">
            <wp:extent cx="8534400" cy="2849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9-21 064427.png"/>
                    <pic:cNvPicPr/>
                  </pic:nvPicPr>
                  <pic:blipFill>
                    <a:blip r:embed="rId19">
                      <a:extLst>
                        <a:ext uri="{28A0092B-C50C-407E-A947-70E740481C1C}">
                          <a14:useLocalDpi xmlns:a14="http://schemas.microsoft.com/office/drawing/2010/main" val="0"/>
                        </a:ext>
                      </a:extLst>
                    </a:blip>
                    <a:stretch>
                      <a:fillRect/>
                    </a:stretch>
                  </pic:blipFill>
                  <pic:spPr>
                    <a:xfrm>
                      <a:off x="0" y="0"/>
                      <a:ext cx="8534400" cy="2849880"/>
                    </a:xfrm>
                    <a:prstGeom prst="rect">
                      <a:avLst/>
                    </a:prstGeom>
                  </pic:spPr>
                </pic:pic>
              </a:graphicData>
            </a:graphic>
          </wp:inline>
        </w:drawing>
      </w:r>
      <w:r>
        <w:br/>
      </w:r>
      <w:r>
        <w:br/>
      </w:r>
      <w:r>
        <w:tab/>
      </w:r>
      <w:r>
        <w:t>Figure</w:t>
      </w:r>
      <w:r>
        <w:rPr>
          <w:spacing w:val="-8"/>
        </w:rPr>
        <w:t xml:space="preserve"> </w:t>
      </w:r>
      <w:r>
        <w:t>5.14</w:t>
      </w:r>
    </w:p>
    <w:p w:rsidR="00517BBC" w:rsidRDefault="00517BBC" w:rsidP="00517BBC">
      <w:pPr>
        <w:pStyle w:val="BodyText"/>
        <w:spacing w:before="4"/>
        <w:ind w:left="720" w:hanging="720"/>
      </w:pPr>
    </w:p>
    <w:p w:rsidR="00E605A5" w:rsidRDefault="00E605A5" w:rsidP="00B31E74">
      <w:pPr>
        <w:pStyle w:val="BodyText"/>
        <w:spacing w:before="4"/>
        <w:ind w:left="720"/>
      </w:pPr>
    </w:p>
    <w:p w:rsidR="00E605A5" w:rsidRDefault="00DB0EA4" w:rsidP="00B31E74">
      <w:pPr>
        <w:pStyle w:val="BodyText"/>
        <w:spacing w:before="4"/>
        <w:ind w:left="720"/>
      </w:pPr>
      <w:r>
        <w:rPr>
          <w:b/>
        </w:rPr>
        <w:t>Conclusion -</w:t>
      </w:r>
      <w:r>
        <w:rPr>
          <w:b/>
        </w:rPr>
        <w:t xml:space="preserve"> </w:t>
      </w:r>
      <w:r>
        <w:t>S</w:t>
      </w:r>
      <w:r>
        <w:t>teady increase in electric vehicle (EV) registrations from 1997 to 2023, with significant growth observed after 2010. The most notable surge occurred in 2023, with a 107.6% increase in registrations, indicating a rapid acceleration in EV adoption. However, the registration growth dropped sharply by 87.7% in 2024, suggesting either market saturation, a supply chain issue, or changes in EV policies. Overall, the trend reveals a strong upward trajectory in EV adoption, but with some fluctuations that merit further investigation to understand the causes behind the 2024 decline.</w:t>
      </w:r>
    </w:p>
    <w:p w:rsidR="00DB0EA4" w:rsidRDefault="00DB0EA4" w:rsidP="00DB0EA4">
      <w:pPr>
        <w:pStyle w:val="BodyText"/>
        <w:spacing w:before="4"/>
      </w:pPr>
    </w:p>
    <w:p w:rsidR="00DB0EA4" w:rsidRDefault="00DB0EA4" w:rsidP="00DB0EA4">
      <w:pPr>
        <w:pStyle w:val="BodyText"/>
        <w:spacing w:before="4"/>
      </w:pPr>
    </w:p>
    <w:p w:rsidR="00DB0EA4" w:rsidRDefault="00DB0EA4" w:rsidP="00DB0EA4">
      <w:pPr>
        <w:pStyle w:val="BodyText"/>
        <w:spacing w:before="4"/>
        <w:ind w:left="720" w:hanging="720"/>
      </w:pPr>
      <w:r>
        <w:t>7.</w:t>
      </w:r>
      <w:r>
        <w:tab/>
      </w:r>
      <w:r>
        <w:t>How does the average Manufacturer's Suggested Retail Price (MSRP) vary between different types of electric vehicles (e.g., Battery Electric Vehicles vs. Plug-in Hybrid Electric Vehicles)?</w:t>
      </w:r>
    </w:p>
    <w:p w:rsidR="00DB0EA4" w:rsidRDefault="00DB0EA4" w:rsidP="00DB0EA4">
      <w:pPr>
        <w:pStyle w:val="BodyText"/>
        <w:spacing w:before="4"/>
        <w:ind w:left="720" w:hanging="720"/>
      </w:pPr>
    </w:p>
    <w:p w:rsidR="00DB0EA4" w:rsidRDefault="00DB0EA4" w:rsidP="00DB0EA4">
      <w:pPr>
        <w:pStyle w:val="BodyText"/>
        <w:spacing w:before="4"/>
        <w:ind w:left="720" w:hanging="720"/>
      </w:pPr>
      <w:r>
        <w:tab/>
      </w:r>
      <w:r>
        <w:rPr>
          <w:b/>
        </w:rPr>
        <w:t xml:space="preserve">Solution: </w:t>
      </w:r>
      <w:r>
        <w:t>Below code and figure will be useful for analyzing</w:t>
      </w:r>
      <w:r>
        <w:t xml:space="preserve"> </w:t>
      </w:r>
      <w:r>
        <w:t>the differences in average MSRP between various electric vehicle types, such as Battery Electric Vehicles (BEVs) and Plug-in Hybrid Electric Vehicles (PHEVs). This comparison provides insights into the pricing trends, helping consumers and manufacturers understand which type of EV offers more value for the price.</w:t>
      </w:r>
    </w:p>
    <w:p w:rsidR="00DB0EA4" w:rsidRDefault="00DB0EA4" w:rsidP="00DB0EA4">
      <w:pPr>
        <w:pStyle w:val="BodyText"/>
        <w:spacing w:before="4"/>
        <w:ind w:left="720" w:hanging="720"/>
      </w:pPr>
      <w:r>
        <w:rPr>
          <w:b/>
        </w:rPr>
        <w:tab/>
      </w:r>
      <w:r>
        <w:rPr>
          <w:b/>
        </w:rPr>
        <w:tab/>
      </w:r>
    </w:p>
    <w:p w:rsidR="00DB0EA4" w:rsidRDefault="00DB0EA4" w:rsidP="00DB0EA4">
      <w:pPr>
        <w:pStyle w:val="BodyText"/>
        <w:spacing w:before="4"/>
        <w:ind w:left="720" w:hanging="720"/>
        <w:jc w:val="center"/>
      </w:pPr>
      <w:r>
        <w:rPr>
          <w:noProof/>
          <w:lang w:val="en-IN" w:eastAsia="en-IN"/>
        </w:rPr>
        <w:drawing>
          <wp:inline distT="0" distB="0" distL="0" distR="0">
            <wp:extent cx="8145780" cy="2788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9-21 065207.png"/>
                    <pic:cNvPicPr/>
                  </pic:nvPicPr>
                  <pic:blipFill>
                    <a:blip r:embed="rId20">
                      <a:extLst>
                        <a:ext uri="{28A0092B-C50C-407E-A947-70E740481C1C}">
                          <a14:useLocalDpi xmlns:a14="http://schemas.microsoft.com/office/drawing/2010/main" val="0"/>
                        </a:ext>
                      </a:extLst>
                    </a:blip>
                    <a:stretch>
                      <a:fillRect/>
                    </a:stretch>
                  </pic:blipFill>
                  <pic:spPr>
                    <a:xfrm>
                      <a:off x="0" y="0"/>
                      <a:ext cx="8145780" cy="2788920"/>
                    </a:xfrm>
                    <a:prstGeom prst="rect">
                      <a:avLst/>
                    </a:prstGeom>
                  </pic:spPr>
                </pic:pic>
              </a:graphicData>
            </a:graphic>
          </wp:inline>
        </w:drawing>
      </w:r>
    </w:p>
    <w:p w:rsidR="00DB0EA4" w:rsidRDefault="00DB0EA4" w:rsidP="00DB0EA4">
      <w:pPr>
        <w:pStyle w:val="BodyText"/>
        <w:spacing w:before="4"/>
      </w:pPr>
      <w:r>
        <w:tab/>
      </w:r>
    </w:p>
    <w:p w:rsidR="00DB0EA4" w:rsidRDefault="00DB0EA4" w:rsidP="00DB0EA4">
      <w:pPr>
        <w:pStyle w:val="BodyText"/>
        <w:spacing w:before="4"/>
        <w:ind w:left="720" w:hanging="720"/>
      </w:pPr>
      <w:r>
        <w:lastRenderedPageBreak/>
        <w:tab/>
      </w:r>
    </w:p>
    <w:p w:rsidR="00E605A5" w:rsidRDefault="00DB0EA4" w:rsidP="00DB0EA4">
      <w:pPr>
        <w:pStyle w:val="BodyText"/>
        <w:spacing w:before="4"/>
        <w:ind w:left="720"/>
        <w:jc w:val="center"/>
      </w:pPr>
      <w:r>
        <w:t>Figure</w:t>
      </w:r>
      <w:r>
        <w:rPr>
          <w:spacing w:val="-8"/>
        </w:rPr>
        <w:t xml:space="preserve"> </w:t>
      </w:r>
      <w:r>
        <w:t>5.15</w:t>
      </w:r>
    </w:p>
    <w:p w:rsidR="00DB0EA4" w:rsidRDefault="00DB0EA4" w:rsidP="00DB0EA4">
      <w:pPr>
        <w:pStyle w:val="BodyText"/>
        <w:spacing w:before="4"/>
        <w:ind w:left="720"/>
      </w:pPr>
      <w:r>
        <w:rPr>
          <w:b/>
        </w:rPr>
        <w:t>Conclusion -</w:t>
      </w:r>
      <w:r>
        <w:rPr>
          <w:b/>
        </w:rPr>
        <w:t xml:space="preserve"> </w:t>
      </w:r>
      <w:r>
        <w:t xml:space="preserve">comparison of average MSRP by electric vehicle type shows that </w:t>
      </w:r>
      <w:r w:rsidRPr="00DB0EA4">
        <w:rPr>
          <w:rStyle w:val="Strong"/>
          <w:b w:val="0"/>
        </w:rPr>
        <w:t>Plug-in Hybrid Electric Vehicles (PHEVs) have a significantly higher average MSRP (1,632.99 units) compared to Battery Electric Vehicles (BEVs), which have an average MSRP of 914.68 units</w:t>
      </w:r>
      <w:r w:rsidRPr="00DB0EA4">
        <w:rPr>
          <w:b/>
        </w:rPr>
        <w:t>.</w:t>
      </w:r>
      <w:r>
        <w:t xml:space="preserve"> This suggests that PHEVs are generally more expensive than BEVs, potentially due to the additional hybrid technology they incorporate, offering both electric and fuel options.</w:t>
      </w:r>
    </w:p>
    <w:p w:rsidR="00DB0EA4" w:rsidRDefault="00DB0EA4" w:rsidP="00DB0EA4">
      <w:pPr>
        <w:pStyle w:val="BodyText"/>
        <w:spacing w:before="4"/>
      </w:pPr>
    </w:p>
    <w:p w:rsidR="00DB0EA4" w:rsidRDefault="00DB0EA4" w:rsidP="00DB0EA4">
      <w:pPr>
        <w:pStyle w:val="BodyText"/>
        <w:spacing w:before="4"/>
      </w:pPr>
    </w:p>
    <w:p w:rsidR="00DB0EA4" w:rsidRDefault="00DB0EA4" w:rsidP="00DB0EA4">
      <w:pPr>
        <w:pStyle w:val="BodyText"/>
        <w:spacing w:before="4"/>
        <w:ind w:left="720" w:hanging="720"/>
      </w:pPr>
      <w:r>
        <w:t>8.</w:t>
      </w:r>
      <w:r>
        <w:tab/>
      </w:r>
      <w:r>
        <w:t>How has the adoption rate of electric vehicles changed over time, and what factors have influenced significant increases or decreases in specific years?</w:t>
      </w:r>
    </w:p>
    <w:p w:rsidR="00DB0EA4" w:rsidRDefault="00DB0EA4" w:rsidP="00DB0EA4">
      <w:pPr>
        <w:pStyle w:val="BodyText"/>
        <w:spacing w:before="4"/>
      </w:pPr>
    </w:p>
    <w:p w:rsidR="00B31E74" w:rsidRDefault="00DB0EA4" w:rsidP="00DB0EA4">
      <w:pPr>
        <w:pStyle w:val="BodyText"/>
        <w:spacing w:before="4"/>
        <w:ind w:left="720"/>
      </w:pPr>
      <w:r>
        <w:rPr>
          <w:b/>
        </w:rPr>
        <w:t xml:space="preserve">Solution: </w:t>
      </w:r>
      <w:r>
        <w:t>Below code and figure will be useful for analyzing</w:t>
      </w:r>
      <w:r>
        <w:t xml:space="preserve"> </w:t>
      </w:r>
      <w:r w:rsidR="004A51C1">
        <w:t>t</w:t>
      </w:r>
      <w:r>
        <w:t>he adoption rate of electric vehicles has shown significant growth, particularly in recent years. This upward trend is driven by advancements in EV technology, increasing environmental awareness, and supportive government policies. Addressing infrastructure challenges, such as expanding charging networks, and offering incentives can further accelerate this growth in the coming years.</w:t>
      </w:r>
    </w:p>
    <w:p w:rsidR="004A51C1" w:rsidRDefault="004A51C1" w:rsidP="00DB0EA4">
      <w:pPr>
        <w:pStyle w:val="BodyText"/>
        <w:spacing w:before="4"/>
        <w:ind w:left="720"/>
        <w:rPr>
          <w:sz w:val="17"/>
        </w:rPr>
      </w:pPr>
    </w:p>
    <w:p w:rsidR="004A51C1" w:rsidRDefault="004A51C1" w:rsidP="00DB0EA4">
      <w:pPr>
        <w:pStyle w:val="BodyText"/>
        <w:spacing w:before="4"/>
        <w:ind w:left="720"/>
        <w:rPr>
          <w:sz w:val="17"/>
        </w:rPr>
      </w:pPr>
    </w:p>
    <w:p w:rsidR="004A51C1" w:rsidRDefault="004A51C1" w:rsidP="004A51C1">
      <w:pPr>
        <w:pStyle w:val="BodyText"/>
        <w:spacing w:before="4"/>
        <w:ind w:left="720"/>
        <w:jc w:val="center"/>
        <w:rPr>
          <w:sz w:val="17"/>
        </w:rPr>
      </w:pPr>
      <w:r>
        <w:rPr>
          <w:noProof/>
          <w:sz w:val="17"/>
          <w:lang w:val="en-IN" w:eastAsia="en-IN"/>
        </w:rPr>
        <w:drawing>
          <wp:inline distT="0" distB="0" distL="0" distR="0">
            <wp:extent cx="7802880" cy="29032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9-21 065927.png"/>
                    <pic:cNvPicPr/>
                  </pic:nvPicPr>
                  <pic:blipFill>
                    <a:blip r:embed="rId21">
                      <a:extLst>
                        <a:ext uri="{28A0092B-C50C-407E-A947-70E740481C1C}">
                          <a14:useLocalDpi xmlns:a14="http://schemas.microsoft.com/office/drawing/2010/main" val="0"/>
                        </a:ext>
                      </a:extLst>
                    </a:blip>
                    <a:stretch>
                      <a:fillRect/>
                    </a:stretch>
                  </pic:blipFill>
                  <pic:spPr>
                    <a:xfrm>
                      <a:off x="0" y="0"/>
                      <a:ext cx="7802880" cy="2903220"/>
                    </a:xfrm>
                    <a:prstGeom prst="rect">
                      <a:avLst/>
                    </a:prstGeom>
                  </pic:spPr>
                </pic:pic>
              </a:graphicData>
            </a:graphic>
          </wp:inline>
        </w:drawing>
      </w:r>
    </w:p>
    <w:p w:rsidR="004A51C1" w:rsidRDefault="004A51C1" w:rsidP="004A51C1">
      <w:pPr>
        <w:pStyle w:val="BodyText"/>
        <w:spacing w:before="4"/>
        <w:ind w:left="720"/>
        <w:jc w:val="center"/>
      </w:pPr>
    </w:p>
    <w:p w:rsidR="004A51C1" w:rsidRDefault="004A51C1" w:rsidP="004A51C1">
      <w:pPr>
        <w:pStyle w:val="BodyText"/>
        <w:spacing w:before="4"/>
        <w:ind w:left="720"/>
        <w:jc w:val="center"/>
      </w:pPr>
      <w:r>
        <w:t>Figure</w:t>
      </w:r>
      <w:r>
        <w:rPr>
          <w:spacing w:val="-8"/>
        </w:rPr>
        <w:t xml:space="preserve"> </w:t>
      </w:r>
      <w:r>
        <w:t>5.16</w:t>
      </w:r>
    </w:p>
    <w:p w:rsidR="004A51C1" w:rsidRDefault="004A51C1" w:rsidP="004A51C1">
      <w:pPr>
        <w:pStyle w:val="BodyText"/>
        <w:spacing w:before="4"/>
        <w:ind w:left="720"/>
      </w:pPr>
      <w:r>
        <w:rPr>
          <w:b/>
        </w:rPr>
        <w:t>Conclusion -</w:t>
      </w:r>
      <w:r>
        <w:rPr>
          <w:b/>
        </w:rPr>
        <w:t xml:space="preserve"> </w:t>
      </w:r>
      <w:r>
        <w:t>E</w:t>
      </w:r>
      <w:r>
        <w:t>lectric vehicle (EV) registrations by model year shows a clear upward trend in EV adoption, with significant growth starting in 2011. This trend accelerates in the 2020s, reaching a peak of 57,519 registrations in 2023. The sharp rise in recent years reflects increasing consumer interest in EVs, likely driven by technological advancements, broader availability, and growing environmental concerns. However, the lower number in 2024 (7,072) may suggest that more data or market factors need to be considered to understand if this drop is temporary or part of a larger trend.</w:t>
      </w:r>
    </w:p>
    <w:p w:rsidR="004A51C1" w:rsidRDefault="004A51C1" w:rsidP="004A51C1">
      <w:pPr>
        <w:pStyle w:val="BodyText"/>
        <w:spacing w:before="4"/>
      </w:pPr>
    </w:p>
    <w:p w:rsidR="004A51C1" w:rsidRDefault="004A51C1" w:rsidP="004A51C1">
      <w:pPr>
        <w:pStyle w:val="BodyText"/>
        <w:spacing w:before="4"/>
      </w:pPr>
    </w:p>
    <w:p w:rsidR="004A51C1" w:rsidRDefault="004A51C1" w:rsidP="004A51C1">
      <w:pPr>
        <w:pStyle w:val="BodyText"/>
        <w:spacing w:before="4"/>
        <w:ind w:left="720" w:hanging="720"/>
      </w:pPr>
      <w:r>
        <w:t>9.</w:t>
      </w:r>
      <w:r>
        <w:tab/>
      </w:r>
      <w:r>
        <w:t>How does the electric range of Battery Electric Vehicles (BEVs) compare to that of Plug-in Hybrid Electric Vehicles (PHEVs), and what factors contribute to the differences in range?</w:t>
      </w:r>
    </w:p>
    <w:p w:rsidR="004A51C1" w:rsidRDefault="004A51C1" w:rsidP="004A51C1">
      <w:pPr>
        <w:pStyle w:val="BodyText"/>
        <w:spacing w:before="4"/>
        <w:ind w:left="720"/>
      </w:pPr>
    </w:p>
    <w:p w:rsidR="004A51C1" w:rsidRDefault="004A51C1" w:rsidP="004A51C1">
      <w:pPr>
        <w:pStyle w:val="BodyText"/>
        <w:spacing w:before="4"/>
        <w:ind w:left="720"/>
        <w:jc w:val="center"/>
        <w:rPr>
          <w:sz w:val="17"/>
        </w:rPr>
      </w:pPr>
      <w:r>
        <w:rPr>
          <w:noProof/>
          <w:sz w:val="17"/>
          <w:lang w:val="en-IN" w:eastAsia="en-IN"/>
        </w:rPr>
        <w:drawing>
          <wp:inline distT="0" distB="0" distL="0" distR="0">
            <wp:extent cx="8313420" cy="3535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9-21 070537.png"/>
                    <pic:cNvPicPr/>
                  </pic:nvPicPr>
                  <pic:blipFill>
                    <a:blip r:embed="rId22">
                      <a:extLst>
                        <a:ext uri="{28A0092B-C50C-407E-A947-70E740481C1C}">
                          <a14:useLocalDpi xmlns:a14="http://schemas.microsoft.com/office/drawing/2010/main" val="0"/>
                        </a:ext>
                      </a:extLst>
                    </a:blip>
                    <a:stretch>
                      <a:fillRect/>
                    </a:stretch>
                  </pic:blipFill>
                  <pic:spPr>
                    <a:xfrm>
                      <a:off x="0" y="0"/>
                      <a:ext cx="8313420" cy="3535680"/>
                    </a:xfrm>
                    <a:prstGeom prst="rect">
                      <a:avLst/>
                    </a:prstGeom>
                  </pic:spPr>
                </pic:pic>
              </a:graphicData>
            </a:graphic>
          </wp:inline>
        </w:drawing>
      </w:r>
    </w:p>
    <w:p w:rsidR="004A51C1" w:rsidRDefault="004A51C1" w:rsidP="004A51C1">
      <w:pPr>
        <w:pStyle w:val="BodyText"/>
        <w:spacing w:before="4"/>
        <w:ind w:left="720"/>
        <w:jc w:val="center"/>
        <w:rPr>
          <w:sz w:val="17"/>
        </w:rPr>
      </w:pPr>
    </w:p>
    <w:p w:rsidR="004A51C1" w:rsidRDefault="004A51C1" w:rsidP="004A51C1">
      <w:pPr>
        <w:pStyle w:val="BodyText"/>
        <w:spacing w:before="4"/>
        <w:ind w:left="720"/>
        <w:jc w:val="center"/>
      </w:pPr>
      <w:r>
        <w:lastRenderedPageBreak/>
        <w:t>Figure</w:t>
      </w:r>
      <w:r>
        <w:rPr>
          <w:spacing w:val="-8"/>
        </w:rPr>
        <w:t xml:space="preserve"> </w:t>
      </w:r>
      <w:r>
        <w:t>5.17</w:t>
      </w:r>
    </w:p>
    <w:p w:rsidR="004A51C1" w:rsidRDefault="004A51C1" w:rsidP="004A51C1">
      <w:pPr>
        <w:pStyle w:val="BodyText"/>
        <w:spacing w:before="4"/>
      </w:pPr>
    </w:p>
    <w:p w:rsidR="004A51C1" w:rsidRDefault="004A51C1" w:rsidP="004A51C1">
      <w:pPr>
        <w:pStyle w:val="BodyText"/>
        <w:spacing w:before="4"/>
      </w:pPr>
      <w:r>
        <w:t>10.</w:t>
      </w:r>
      <w:r>
        <w:tab/>
      </w:r>
      <w:r w:rsidR="002D4486">
        <w:t>How does the average</w:t>
      </w:r>
      <w:r w:rsidR="002D4486">
        <w:t xml:space="preserve"> electric range across different vehicle type?</w:t>
      </w:r>
    </w:p>
    <w:p w:rsidR="002D4486" w:rsidRDefault="002D4486" w:rsidP="004A51C1">
      <w:pPr>
        <w:pStyle w:val="BodyText"/>
        <w:spacing w:before="4"/>
      </w:pPr>
    </w:p>
    <w:p w:rsidR="002D4486" w:rsidRDefault="002D4486" w:rsidP="002D4486">
      <w:pPr>
        <w:pStyle w:val="BodyText"/>
        <w:spacing w:before="4"/>
        <w:jc w:val="center"/>
      </w:pPr>
      <w:r>
        <w:rPr>
          <w:noProof/>
          <w:lang w:val="en-IN" w:eastAsia="en-IN"/>
        </w:rPr>
        <w:drawing>
          <wp:inline distT="0" distB="0" distL="0" distR="0">
            <wp:extent cx="8747760" cy="3832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9-21 071225.png"/>
                    <pic:cNvPicPr/>
                  </pic:nvPicPr>
                  <pic:blipFill>
                    <a:blip r:embed="rId23">
                      <a:extLst>
                        <a:ext uri="{28A0092B-C50C-407E-A947-70E740481C1C}">
                          <a14:useLocalDpi xmlns:a14="http://schemas.microsoft.com/office/drawing/2010/main" val="0"/>
                        </a:ext>
                      </a:extLst>
                    </a:blip>
                    <a:stretch>
                      <a:fillRect/>
                    </a:stretch>
                  </pic:blipFill>
                  <pic:spPr>
                    <a:xfrm>
                      <a:off x="0" y="0"/>
                      <a:ext cx="8747760" cy="3832860"/>
                    </a:xfrm>
                    <a:prstGeom prst="rect">
                      <a:avLst/>
                    </a:prstGeom>
                  </pic:spPr>
                </pic:pic>
              </a:graphicData>
            </a:graphic>
          </wp:inline>
        </w:drawing>
      </w:r>
      <w:bookmarkStart w:id="0" w:name="_GoBack"/>
      <w:bookmarkEnd w:id="0"/>
    </w:p>
    <w:p w:rsidR="004A51C1" w:rsidRDefault="004A51C1" w:rsidP="004A51C1">
      <w:pPr>
        <w:pStyle w:val="BodyText"/>
        <w:spacing w:before="4"/>
        <w:ind w:left="720"/>
        <w:jc w:val="center"/>
        <w:rPr>
          <w:sz w:val="17"/>
        </w:rPr>
      </w:pPr>
    </w:p>
    <w:p w:rsidR="002D4486" w:rsidRDefault="002D4486" w:rsidP="002D4486">
      <w:pPr>
        <w:pStyle w:val="BodyText"/>
        <w:spacing w:before="4"/>
        <w:ind w:left="720"/>
        <w:jc w:val="center"/>
      </w:pPr>
    </w:p>
    <w:p w:rsidR="002D4486" w:rsidRDefault="002D4486" w:rsidP="002D4486">
      <w:pPr>
        <w:pStyle w:val="BodyText"/>
        <w:spacing w:before="4"/>
        <w:ind w:left="720"/>
        <w:jc w:val="center"/>
      </w:pPr>
      <w:r>
        <w:t>Figure</w:t>
      </w:r>
      <w:r>
        <w:rPr>
          <w:spacing w:val="-8"/>
        </w:rPr>
        <w:t xml:space="preserve"> </w:t>
      </w:r>
      <w:r>
        <w:t>5.18</w:t>
      </w:r>
    </w:p>
    <w:p w:rsidR="002D4486" w:rsidRDefault="002D4486" w:rsidP="002D4486">
      <w:pPr>
        <w:pStyle w:val="BodyText"/>
        <w:spacing w:before="4"/>
        <w:ind w:left="720"/>
        <w:jc w:val="center"/>
      </w:pPr>
    </w:p>
    <w:p w:rsidR="002D4486" w:rsidRDefault="002D4486" w:rsidP="002D4486">
      <w:pPr>
        <w:pStyle w:val="BodyText"/>
        <w:spacing w:before="4"/>
        <w:ind w:left="720"/>
        <w:rPr>
          <w:sz w:val="17"/>
        </w:rPr>
      </w:pPr>
      <w:r>
        <w:rPr>
          <w:b/>
        </w:rPr>
        <w:t xml:space="preserve">Conclusion </w:t>
      </w:r>
      <w:r>
        <w:rPr>
          <w:b/>
        </w:rPr>
        <w:t xml:space="preserve">– </w:t>
      </w:r>
      <w:r w:rsidRPr="002D4486">
        <w:t>Ave</w:t>
      </w:r>
      <w:r>
        <w:t xml:space="preserve">rage electric range of Battery Electric Vehicle is higher compare to Plug-in Hybrid Electric Vehicle. Average electric range of BEV is 65 to 67 and PHEV electric range is 30. </w:t>
      </w:r>
    </w:p>
    <w:sectPr w:rsidR="002D4486">
      <w:pgSz w:w="19200" w:h="10800" w:orient="landscape"/>
      <w:pgMar w:top="1220" w:right="2300" w:bottom="280" w:left="24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5F0A7A"/>
    <w:multiLevelType w:val="hybridMultilevel"/>
    <w:tmpl w:val="505C442E"/>
    <w:lvl w:ilvl="0" w:tplc="57EA23F8">
      <w:start w:val="1"/>
      <w:numFmt w:val="decimal"/>
      <w:lvlText w:val="%1."/>
      <w:lvlJc w:val="left"/>
      <w:pPr>
        <w:ind w:left="420" w:hanging="360"/>
      </w:pPr>
      <w:rPr>
        <w:rFonts w:hint="default"/>
      </w:rPr>
    </w:lvl>
    <w:lvl w:ilvl="1" w:tplc="40090019">
      <w:start w:val="1"/>
      <w:numFmt w:val="lowerLetter"/>
      <w:lvlText w:val="%2."/>
      <w:lvlJc w:val="left"/>
      <w:pPr>
        <w:ind w:left="1140" w:hanging="360"/>
      </w:pPr>
    </w:lvl>
    <w:lvl w:ilvl="2" w:tplc="4009001B">
      <w:start w:val="1"/>
      <w:numFmt w:val="lowerRoman"/>
      <w:lvlText w:val="%3."/>
      <w:lvlJc w:val="right"/>
      <w:pPr>
        <w:ind w:left="1860" w:hanging="180"/>
      </w:pPr>
    </w:lvl>
    <w:lvl w:ilvl="3" w:tplc="4009000F">
      <w:start w:val="1"/>
      <w:numFmt w:val="decimal"/>
      <w:lvlText w:val="%4."/>
      <w:lvlJc w:val="left"/>
      <w:pPr>
        <w:ind w:left="2580" w:hanging="360"/>
      </w:pPr>
    </w:lvl>
    <w:lvl w:ilvl="4" w:tplc="40090019">
      <w:start w:val="1"/>
      <w:numFmt w:val="lowerLetter"/>
      <w:lvlText w:val="%5."/>
      <w:lvlJc w:val="left"/>
      <w:pPr>
        <w:ind w:left="3300" w:hanging="360"/>
      </w:pPr>
    </w:lvl>
    <w:lvl w:ilvl="5" w:tplc="4009001B">
      <w:start w:val="1"/>
      <w:numFmt w:val="lowerRoman"/>
      <w:lvlText w:val="%6."/>
      <w:lvlJc w:val="right"/>
      <w:pPr>
        <w:ind w:left="4020" w:hanging="180"/>
      </w:pPr>
    </w:lvl>
    <w:lvl w:ilvl="6" w:tplc="4009000F">
      <w:start w:val="1"/>
      <w:numFmt w:val="decimal"/>
      <w:lvlText w:val="%7."/>
      <w:lvlJc w:val="left"/>
      <w:pPr>
        <w:ind w:left="4740" w:hanging="360"/>
      </w:pPr>
    </w:lvl>
    <w:lvl w:ilvl="7" w:tplc="40090019">
      <w:start w:val="1"/>
      <w:numFmt w:val="lowerLetter"/>
      <w:lvlText w:val="%8."/>
      <w:lvlJc w:val="left"/>
      <w:pPr>
        <w:ind w:left="5460" w:hanging="360"/>
      </w:pPr>
    </w:lvl>
    <w:lvl w:ilvl="8" w:tplc="4009001B">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412F77"/>
    <w:rsid w:val="00012C29"/>
    <w:rsid w:val="00021DDF"/>
    <w:rsid w:val="0009693F"/>
    <w:rsid w:val="000D3331"/>
    <w:rsid w:val="002844C1"/>
    <w:rsid w:val="002D4486"/>
    <w:rsid w:val="00313DCB"/>
    <w:rsid w:val="00412F77"/>
    <w:rsid w:val="004A51C1"/>
    <w:rsid w:val="004D23A1"/>
    <w:rsid w:val="00517BBC"/>
    <w:rsid w:val="007C7626"/>
    <w:rsid w:val="008A0542"/>
    <w:rsid w:val="008A34B2"/>
    <w:rsid w:val="0090727A"/>
    <w:rsid w:val="00992B6D"/>
    <w:rsid w:val="00B31E74"/>
    <w:rsid w:val="00DA3921"/>
    <w:rsid w:val="00DB0EA4"/>
    <w:rsid w:val="00E605A5"/>
    <w:rsid w:val="00EF5D46"/>
    <w:rsid w:val="00F2417C"/>
    <w:rsid w:val="00FE75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410815"/>
  <w15:docId w15:val="{CDECDDAA-FED0-4437-B2A2-1274F53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6"/>
      <w:ind w:left="124"/>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79"/>
      <w:ind w:left="3215" w:right="3334"/>
      <w:jc w:val="center"/>
    </w:pPr>
    <w:rPr>
      <w:b/>
      <w:bCs/>
      <w:sz w:val="49"/>
      <w:szCs w:val="4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Strong">
    <w:name w:val="Strong"/>
    <w:basedOn w:val="DefaultParagraphFont"/>
    <w:uiPriority w:val="22"/>
    <w:qFormat/>
    <w:rsid w:val="00DB0E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E9AA3-FE85-4D14-B01E-483861AA7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18</Pages>
  <Words>1829</Words>
  <Characters>10429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15</cp:revision>
  <dcterms:created xsi:type="dcterms:W3CDTF">2024-09-20T23:53:00Z</dcterms:created>
  <dcterms:modified xsi:type="dcterms:W3CDTF">2024-09-21T01:51:00Z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2024-09-20T00:00:00Z</vt:filetime>
  </property>
  <property fmtid="{D5CDD505-2E9C-101B-9397-08002B2CF9AE}" pid="3" name="Creator">
    <vt:lpwstr>Microsoft® PowerPoint® LTSC</vt:lpwstr>
  </property>
  <property fmtid="{D5CDD505-2E9C-101B-9397-08002B2CF9AE}" pid="4" name="LastSaved">
    <vt:filetime>2024-09-20T00:00:00Z</vt:filetime>
  </property>
  <property fmtid="{D5CDD505-2E9C-101B-9397-08002B2CF9AE}" pid="5" name="Producer">
    <vt:lpwstr>Microsoft® PowerPoint® LTSC</vt:lpwstr>
  </property>
</Properties>
</file>