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223" w14:textId="550E926C" w:rsidR="00CF6B07" w:rsidRPr="00CF6B07" w:rsidRDefault="00EF41B3" w:rsidP="00EF41B3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B145D" wp14:editId="554FFD25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6621780" cy="91973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919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AA0C4" w14:textId="0D56A635" w:rsidR="009F7CC3" w:rsidRDefault="00760B22" w:rsidP="009F41E4">
                            <w:pPr>
                              <w:pStyle w:val="Heading2"/>
                            </w:pPr>
                            <w:r>
                              <w:t xml:space="preserve">Problem </w:t>
                            </w:r>
                            <w:r w:rsidR="00F87FA8">
                              <w:t>Statement</w:t>
                            </w:r>
                          </w:p>
                          <w:p w14:paraId="41748351" w14:textId="69CFFAF1" w:rsidR="00A40C0B" w:rsidRDefault="00537B93">
                            <w:r w:rsidRPr="00537B93">
                              <w:t>Develop an optimization tool designed to assist portfolio managers in selecting option types, strikes, and quantities for one or multiple legs</w:t>
                            </w:r>
                            <w:r w:rsidR="00AF431D">
                              <w:t xml:space="preserve"> while</w:t>
                            </w:r>
                            <w:r w:rsidRPr="00537B93">
                              <w:t xml:space="preserve"> minimizing the tail risk, as measured by Conditional Value at Risk (CVaR)</w:t>
                            </w:r>
                          </w:p>
                          <w:p w14:paraId="5117A829" w14:textId="62442531" w:rsidR="00AF431D" w:rsidRDefault="00F87FA8" w:rsidP="009F41E4">
                            <w:pPr>
                              <w:pStyle w:val="Heading2"/>
                            </w:pPr>
                            <w:r>
                              <w:t>Mathematical Formulation</w:t>
                            </w:r>
                          </w:p>
                          <w:p w14:paraId="508EF267" w14:textId="7E178DA3" w:rsidR="002B1298" w:rsidRDefault="002B1298" w:rsidP="001A4D4A">
                            <w:pPr>
                              <w:spacing w:after="0"/>
                            </w:pPr>
                            <w:r>
                              <w:t>Given number of legs</w:t>
                            </w:r>
                            <w:r w:rsidR="00551828">
                              <w:t>,</w:t>
                            </w:r>
                            <w:r>
                              <w:t xml:space="preserve"> </w:t>
                            </w:r>
                          </w:p>
                          <w:p w14:paraId="1004FF7D" w14:textId="1D23C111" w:rsidR="00F87FA8" w:rsidRDefault="00551828">
                            <w:r>
                              <w:t>m</w:t>
                            </w:r>
                            <w:r w:rsidR="00941520">
                              <w:t>inimize CVAR1-alpha</w:t>
                            </w:r>
                            <w:r w:rsidR="001B57FE">
                              <w:t xml:space="preserve"> (L) over </w:t>
                            </w:r>
                            <w:r w:rsidR="00C4603E">
                              <w:t>N, K, H such that</w:t>
                            </w:r>
                          </w:p>
                          <w:p w14:paraId="0A546D1A" w14:textId="5FF6812D" w:rsidR="00C4603E" w:rsidRDefault="009A290E" w:rsidP="00C46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Price(</w:t>
                            </w:r>
                            <w:proofErr w:type="gramStart"/>
                            <w:r>
                              <w:t>N,K</w:t>
                            </w:r>
                            <w:proofErr w:type="gramEnd"/>
                            <w:r>
                              <w:t>) / Fund AUM &lt; c</w:t>
                            </w:r>
                          </w:p>
                          <w:p w14:paraId="42083696" w14:textId="10A77462" w:rsidR="009A290E" w:rsidRDefault="009D0F56" w:rsidP="00C46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Expected hedged</w:t>
                            </w:r>
                            <w:r w:rsidR="00CA1203">
                              <w:t xml:space="preserve"> </w:t>
                            </w:r>
                            <w:r w:rsidR="002A6759">
                              <w:t>returns</w:t>
                            </w:r>
                            <w:r w:rsidR="00CA1203">
                              <w:t xml:space="preserve">/ </w:t>
                            </w:r>
                            <w:r>
                              <w:t>Expected unhedged</w:t>
                            </w:r>
                            <w:r w:rsidR="00CA1203">
                              <w:t xml:space="preserve"> </w:t>
                            </w:r>
                            <w:r w:rsidR="002A6759">
                              <w:t xml:space="preserve">returns </w:t>
                            </w:r>
                            <w:r w:rsidR="002E20E9">
                              <w:t>&lt; rho</w:t>
                            </w:r>
                          </w:p>
                          <w:p w14:paraId="3DDD7475" w14:textId="55ED661D" w:rsidR="002E20E9" w:rsidRDefault="00406EE9" w:rsidP="00406EE9">
                            <w:r>
                              <w:t xml:space="preserve">Where L is the portfolio </w:t>
                            </w:r>
                            <w:r w:rsidR="002A6759">
                              <w:t>value</w:t>
                            </w:r>
                            <w:r>
                              <w:t xml:space="preserve"> </w:t>
                            </w:r>
                            <w:r w:rsidR="00BF1218">
                              <w:t xml:space="preserve">at t = T, alpha is the significance level </w:t>
                            </w:r>
                            <w:r w:rsidR="002B1298">
                              <w:t>of CVaR, N is a vector for the number of units of option</w:t>
                            </w:r>
                            <w:r w:rsidR="00551828">
                              <w:t>s in each leg, K is a vector for strikes for each leg</w:t>
                            </w:r>
                            <w:r w:rsidR="001702A9">
                              <w:t xml:space="preserve"> and H is the fraction of portfolio to be hedged.</w:t>
                            </w:r>
                          </w:p>
                          <w:p w14:paraId="0F24FBED" w14:textId="3FE55CDF" w:rsidR="00ED3C52" w:rsidRDefault="00ED3C52" w:rsidP="001A4D4A">
                            <w:pPr>
                              <w:spacing w:after="0"/>
                            </w:pPr>
                            <w:r>
                              <w:t xml:space="preserve">abs(N) </w:t>
                            </w:r>
                            <w:r w:rsidR="00536275">
                              <w:t>are</w:t>
                            </w:r>
                            <w:r>
                              <w:t xml:space="preserve"> the number of units</w:t>
                            </w:r>
                          </w:p>
                          <w:p w14:paraId="6E3FA2B3" w14:textId="7F1515D8" w:rsidR="002B7E93" w:rsidRDefault="002B7E93" w:rsidP="00406EE9">
                            <w:r>
                              <w:t>N</w:t>
                            </w:r>
                            <w:r w:rsidR="00536275">
                              <w:t>i</w:t>
                            </w:r>
                            <w:r>
                              <w:t>&lt;0 signifies short and N</w:t>
                            </w:r>
                            <w:r w:rsidR="00536275">
                              <w:t>i</w:t>
                            </w:r>
                            <w:r>
                              <w:t>&gt;0 signifies long</w:t>
                            </w:r>
                          </w:p>
                          <w:p w14:paraId="540C0DF3" w14:textId="5B68EDAB" w:rsidR="001702A9" w:rsidRDefault="002B7E93" w:rsidP="001A4D4A">
                            <w:pPr>
                              <w:spacing w:after="0"/>
                            </w:pPr>
                            <w:r>
                              <w:t xml:space="preserve">abs(K) </w:t>
                            </w:r>
                            <w:r w:rsidR="00536275">
                              <w:t>a</w:t>
                            </w:r>
                            <w:r w:rsidR="00C425AF">
                              <w:t>r</w:t>
                            </w:r>
                            <w:r w:rsidR="00536275">
                              <w:t>e the strikes</w:t>
                            </w:r>
                          </w:p>
                          <w:p w14:paraId="4789CF15" w14:textId="149C400B" w:rsidR="00536275" w:rsidRDefault="00536275" w:rsidP="00406EE9">
                            <w:r>
                              <w:t>Ki&lt;0 signifies Put and Ki&gt;0 signifies Call</w:t>
                            </w:r>
                          </w:p>
                          <w:p w14:paraId="4F704C14" w14:textId="6343B3CE" w:rsidR="00963293" w:rsidRDefault="00E669D8" w:rsidP="00406EE9">
                            <w:r>
                              <w:t>Price(</w:t>
                            </w:r>
                            <w:proofErr w:type="gramStart"/>
                            <w:r>
                              <w:t>N,K</w:t>
                            </w:r>
                            <w:proofErr w:type="gramEnd"/>
                            <w:r>
                              <w:t>) is the total option premium spent to build the hedge</w:t>
                            </w:r>
                          </w:p>
                          <w:p w14:paraId="746C6888" w14:textId="5F87BA6C" w:rsidR="003D2635" w:rsidRDefault="00963293" w:rsidP="00A40EB6">
                            <w:pPr>
                              <w:pStyle w:val="Heading2"/>
                            </w:pPr>
                            <w:r>
                              <w:t>Methodology</w:t>
                            </w:r>
                          </w:p>
                          <w:p w14:paraId="11D95AAF" w14:textId="6B385C1F" w:rsidR="003D2635" w:rsidRDefault="003D2635" w:rsidP="005E6C2A">
                            <w:r>
                              <w:t>Step 1: Select a benchmark</w:t>
                            </w:r>
                            <w:r w:rsidR="00DB5F9F">
                              <w:t xml:space="preserve"> with a liquid options </w:t>
                            </w:r>
                            <w:r w:rsidR="00350B58">
                              <w:t>market and calculate covariance matrix and beta</w:t>
                            </w:r>
                            <w:r w:rsidR="001A1F65">
                              <w:t xml:space="preserve"> of the fund</w:t>
                            </w:r>
                          </w:p>
                          <w:p w14:paraId="7ADFF30F" w14:textId="6069B97B" w:rsidR="003D2635" w:rsidRDefault="003D2635" w:rsidP="005E6C2A">
                            <w:r>
                              <w:t>Step 2:</w:t>
                            </w:r>
                            <w:r w:rsidR="00DB5F9F">
                              <w:t xml:space="preserve"> </w:t>
                            </w:r>
                            <w:r w:rsidR="00437FCC">
                              <w:t>Between the available strikes fit a cubic spline to obtain a continuous option price function</w:t>
                            </w:r>
                          </w:p>
                          <w:p w14:paraId="7C2BA79C" w14:textId="316B3FF8" w:rsidR="00350B58" w:rsidRDefault="00350B58" w:rsidP="005E6C2A">
                            <w:r>
                              <w:t>Step 3:</w:t>
                            </w:r>
                            <w:r w:rsidR="00437FCC">
                              <w:t xml:space="preserve"> </w:t>
                            </w:r>
                            <w:r w:rsidR="009D30F3">
                              <w:t>Simulate benchmark and fund over the holding period</w:t>
                            </w:r>
                          </w:p>
                          <w:p w14:paraId="0BAF9561" w14:textId="33CD0411" w:rsidR="00963293" w:rsidRDefault="00D127F2" w:rsidP="00406EE9">
                            <w:r>
                              <w:t>Step 4:</w:t>
                            </w:r>
                            <w:r w:rsidR="00175D6E">
                              <w:t xml:space="preserve"> Run </w:t>
                            </w:r>
                            <w:r w:rsidR="008F4788" w:rsidRPr="008F4788">
                              <w:t>Sequential Least S</w:t>
                            </w:r>
                            <w:r w:rsidR="003232DB">
                              <w:t>q</w:t>
                            </w:r>
                            <w:r w:rsidR="008F4788" w:rsidRPr="008F4788">
                              <w:t>uares Programming (SLSQP)</w:t>
                            </w:r>
                            <w:r w:rsidR="003232DB">
                              <w:t xml:space="preserve">, which is </w:t>
                            </w:r>
                            <w:proofErr w:type="spellStart"/>
                            <w:proofErr w:type="gramStart"/>
                            <w:r w:rsidR="003232DB">
                              <w:t>a</w:t>
                            </w:r>
                            <w:proofErr w:type="spellEnd"/>
                            <w:proofErr w:type="gramEnd"/>
                            <w:r w:rsidR="003232DB">
                              <w:t xml:space="preserve"> open-source non</w:t>
                            </w:r>
                            <w:r w:rsidR="00A40EB6">
                              <w:t>-</w:t>
                            </w:r>
                            <w:r w:rsidR="003232DB">
                              <w:t>linear optimizer</w:t>
                            </w:r>
                          </w:p>
                          <w:p w14:paraId="3A1ABB21" w14:textId="77777777" w:rsidR="009373A4" w:rsidRDefault="009373A4" w:rsidP="00406EE9"/>
                          <w:p w14:paraId="744CEEA2" w14:textId="77777777" w:rsidR="009373A4" w:rsidRDefault="009373A4" w:rsidP="00406EE9"/>
                          <w:p w14:paraId="2DD9187D" w14:textId="77777777" w:rsidR="009373A4" w:rsidRDefault="009373A4" w:rsidP="00406EE9"/>
                          <w:p w14:paraId="540FFF77" w14:textId="77777777" w:rsidR="009373A4" w:rsidRDefault="009373A4" w:rsidP="00406EE9"/>
                          <w:p w14:paraId="13B69194" w14:textId="77777777" w:rsidR="009373A4" w:rsidRDefault="009373A4" w:rsidP="00406EE9"/>
                          <w:p w14:paraId="154AC0AF" w14:textId="77777777" w:rsidR="009373A4" w:rsidRDefault="009373A4" w:rsidP="00406EE9"/>
                          <w:p w14:paraId="1C22F120" w14:textId="77777777" w:rsidR="00EF41B3" w:rsidRDefault="00EF41B3" w:rsidP="009373A4">
                            <w:pPr>
                              <w:pStyle w:val="Heading2"/>
                            </w:pPr>
                          </w:p>
                          <w:p w14:paraId="5B1AE6E1" w14:textId="68CD0418" w:rsidR="009373A4" w:rsidRDefault="009373A4" w:rsidP="009373A4">
                            <w:pPr>
                              <w:pStyle w:val="Heading2"/>
                            </w:pPr>
                            <w:r>
                              <w:t>Results</w:t>
                            </w:r>
                          </w:p>
                          <w:p w14:paraId="4465E60E" w14:textId="3E9E720E" w:rsidR="00342CAA" w:rsidRPr="00342CAA" w:rsidRDefault="00342CAA" w:rsidP="00342CAA">
                            <w:proofErr w:type="gramStart"/>
                            <w:r>
                              <w:t>Strategy :</w:t>
                            </w:r>
                            <w:proofErr w:type="gramEnd"/>
                            <w:r>
                              <w:t xml:space="preserve"> Buy 9</w:t>
                            </w:r>
                            <w:r w:rsidR="002E3CC1">
                              <w:t>1</w:t>
                            </w:r>
                            <w:r>
                              <w:t xml:space="preserve">% Moneyness Put </w:t>
                            </w:r>
                            <w:r w:rsidR="002E3CC1">
                              <w:t>in benchmark – 3.5 units for every 1000 units of benchmark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2"/>
                              <w:gridCol w:w="3372"/>
                              <w:gridCol w:w="3372"/>
                            </w:tblGrid>
                            <w:tr w:rsidR="00F11EC1" w14:paraId="28501042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7BF5BBA1" w14:textId="3EBF5328" w:rsidR="00F11EC1" w:rsidRDefault="00F11EC1" w:rsidP="00406EE9">
                                  <w: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1D2C0B1F" w14:textId="63B80384" w:rsidR="00F11EC1" w:rsidRDefault="00F11EC1" w:rsidP="00406EE9">
                                  <w:r>
                                    <w:t>Hedged Fund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3DB37303" w14:textId="3E769064" w:rsidR="00F11EC1" w:rsidRDefault="00F11EC1" w:rsidP="00406EE9">
                                  <w:r>
                                    <w:t>Unhedged Fund</w:t>
                                  </w:r>
                                </w:p>
                              </w:tc>
                            </w:tr>
                            <w:tr w:rsidR="00F11EC1" w14:paraId="41B01CEC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228C8979" w14:textId="1CA1DD05" w:rsidR="00F11EC1" w:rsidRDefault="000E1775" w:rsidP="00406EE9">
                                  <w:r>
                                    <w:t>Annual Returns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0482A41A" w14:textId="529B6A83" w:rsidR="00F11EC1" w:rsidRDefault="000E1775" w:rsidP="00406EE9">
                                  <w:r>
                                    <w:t>13.1%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22DE3551" w14:textId="39249B29" w:rsidR="00F11EC1" w:rsidRDefault="00342CAA" w:rsidP="00406EE9">
                                  <w:r>
                                    <w:t>11.8%</w:t>
                                  </w:r>
                                </w:p>
                              </w:tc>
                            </w:tr>
                            <w:tr w:rsidR="00F11EC1" w14:paraId="6F2E2102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1C5261ED" w14:textId="1E2F4797" w:rsidR="00F11EC1" w:rsidRDefault="00342CAA" w:rsidP="00406EE9">
                                  <w:r>
                                    <w:t>Annual Standard Deviation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1F8392EC" w14:textId="4B8A9888" w:rsidR="00F11EC1" w:rsidRDefault="00342CAA" w:rsidP="00406EE9">
                                  <w:r>
                                    <w:t>19.8%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15A828B3" w14:textId="14C9CDFF" w:rsidR="00F11EC1" w:rsidRDefault="00342CAA" w:rsidP="00406EE9">
                                  <w:r>
                                    <w:t>15.9%</w:t>
                                  </w:r>
                                </w:p>
                              </w:tc>
                            </w:tr>
                            <w:tr w:rsidR="00F11EC1" w14:paraId="68DA430B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57B53C97" w14:textId="608F2633" w:rsidR="00F11EC1" w:rsidRDefault="00342CAA" w:rsidP="00406EE9">
                                  <w:r>
                                    <w:t>Sharpe Ratio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5EE2583A" w14:textId="5C207E66" w:rsidR="00F11EC1" w:rsidRDefault="00342CAA" w:rsidP="00406EE9">
                                  <w: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2C5F8E13" w14:textId="4636926E" w:rsidR="00F11EC1" w:rsidRDefault="00342CAA" w:rsidP="00406EE9">
                                  <w:r>
                                    <w:t>0.74</w:t>
                                  </w:r>
                                </w:p>
                              </w:tc>
                            </w:tr>
                            <w:tr w:rsidR="00F11EC1" w14:paraId="5CCE33C5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184AFC87" w14:textId="64C91BE5" w:rsidR="00F11EC1" w:rsidRDefault="00342CAA" w:rsidP="00406EE9">
                                  <w:r>
                                    <w:t>Calmar Ratio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0FC6805E" w14:textId="66C19484" w:rsidR="00F11EC1" w:rsidRDefault="00342CAA" w:rsidP="00406EE9">
                                  <w: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4D3747E6" w14:textId="16D901CC" w:rsidR="00F11EC1" w:rsidRDefault="00342CAA" w:rsidP="00406EE9">
                                  <w:r>
                                    <w:t>0.81</w:t>
                                  </w:r>
                                </w:p>
                              </w:tc>
                            </w:tr>
                            <w:tr w:rsidR="00F11EC1" w14:paraId="1D2F7B3B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6DA4F803" w14:textId="0832FCA4" w:rsidR="00F11EC1" w:rsidRDefault="00342CAA" w:rsidP="00406EE9">
                                  <w:r>
                                    <w:t>CVaR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6CCB770F" w14:textId="7648E3F5" w:rsidR="00F11EC1" w:rsidRDefault="00342CAA" w:rsidP="00406EE9">
                                  <w:r>
                                    <w:t>-27%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54A370E9" w14:textId="441CF2A6" w:rsidR="00F11EC1" w:rsidRDefault="00342CAA" w:rsidP="00406EE9">
                                  <w:r>
                                    <w:t>-9%</w:t>
                                  </w:r>
                                </w:p>
                              </w:tc>
                            </w:tr>
                            <w:tr w:rsidR="00342CAA" w14:paraId="72AA292B" w14:textId="77777777" w:rsidTr="00342CAA">
                              <w:tc>
                                <w:tcPr>
                                  <w:tcW w:w="3372" w:type="dxa"/>
                                </w:tcPr>
                                <w:p w14:paraId="12CAE28B" w14:textId="52B090F3" w:rsidR="00342CAA" w:rsidRDefault="00342CAA" w:rsidP="00406EE9">
                                  <w:r>
                                    <w:t>Cost of Hedge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0C619935" w14:textId="595D6105" w:rsidR="00342CAA" w:rsidRDefault="00342CAA" w:rsidP="00406EE9">
                                  <w: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</w:tcPr>
                                <w:p w14:paraId="173F4E43" w14:textId="719D4FF4" w:rsidR="00342CAA" w:rsidRDefault="00342CAA" w:rsidP="00406EE9">
                                  <w:r>
                                    <w:t>0%</w:t>
                                  </w:r>
                                </w:p>
                              </w:tc>
                            </w:tr>
                          </w:tbl>
                          <w:p w14:paraId="219DAC7E" w14:textId="77777777" w:rsidR="00C425AF" w:rsidRDefault="00C425AF" w:rsidP="00406EE9"/>
                          <w:p w14:paraId="412CB721" w14:textId="6346D015" w:rsidR="00AF431D" w:rsidRDefault="00EF41B3">
                            <w:r w:rsidRPr="00EF41B3">
                              <w:rPr>
                                <w:rStyle w:val="Heading2Char"/>
                              </w:rPr>
                              <w:t xml:space="preserve">Code </w:t>
                            </w:r>
                            <w:proofErr w:type="gramStart"/>
                            <w:r w:rsidRPr="00EF41B3">
                              <w:rPr>
                                <w:rStyle w:val="Heading2Char"/>
                              </w:rPr>
                              <w:t>Repository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6" w:history="1">
                              <w:r w:rsidRPr="00EF41B3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1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.6pt;width:521.4pt;height:724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">
                <v:textbox>
                  <w:txbxContent>
                    <w:p w14:paraId="4C7AA0C4" w14:textId="0D56A635" w:rsidR="009F7CC3" w:rsidRDefault="00760B22" w:rsidP="009F41E4">
                      <w:pPr>
                        <w:pStyle w:val="Heading2"/>
                      </w:pPr>
                      <w:r>
                        <w:t xml:space="preserve">Problem </w:t>
                      </w:r>
                      <w:r w:rsidR="00F87FA8">
                        <w:t>Statement</w:t>
                      </w:r>
                    </w:p>
                    <w:p w14:paraId="41748351" w14:textId="69CFFAF1" w:rsidR="00A40C0B" w:rsidRDefault="00537B93">
                      <w:r w:rsidRPr="00537B93">
                        <w:t>Develop an optimization tool designed to assist portfolio managers in selecting option types, strikes, and quantities for one or multiple legs</w:t>
                      </w:r>
                      <w:r w:rsidR="00AF431D">
                        <w:t xml:space="preserve"> while</w:t>
                      </w:r>
                      <w:r w:rsidRPr="00537B93">
                        <w:t xml:space="preserve"> minimizing the tail risk, as measured by Conditional Value at Risk (CVaR)</w:t>
                      </w:r>
                    </w:p>
                    <w:p w14:paraId="5117A829" w14:textId="62442531" w:rsidR="00AF431D" w:rsidRDefault="00F87FA8" w:rsidP="009F41E4">
                      <w:pPr>
                        <w:pStyle w:val="Heading2"/>
                      </w:pPr>
                      <w:r>
                        <w:t>Mathematical Formulation</w:t>
                      </w:r>
                    </w:p>
                    <w:p w14:paraId="508EF267" w14:textId="7E178DA3" w:rsidR="002B1298" w:rsidRDefault="002B1298" w:rsidP="001A4D4A">
                      <w:pPr>
                        <w:spacing w:after="0"/>
                      </w:pPr>
                      <w:r>
                        <w:t>Given number of legs</w:t>
                      </w:r>
                      <w:r w:rsidR="00551828">
                        <w:t>,</w:t>
                      </w:r>
                      <w:r>
                        <w:t xml:space="preserve"> </w:t>
                      </w:r>
                    </w:p>
                    <w:p w14:paraId="1004FF7D" w14:textId="1D23C111" w:rsidR="00F87FA8" w:rsidRDefault="00551828">
                      <w:r>
                        <w:t>m</w:t>
                      </w:r>
                      <w:r w:rsidR="00941520">
                        <w:t>inimize CVAR1-alpha</w:t>
                      </w:r>
                      <w:r w:rsidR="001B57FE">
                        <w:t xml:space="preserve"> (L) over </w:t>
                      </w:r>
                      <w:r w:rsidR="00C4603E">
                        <w:t>N, K, H such that</w:t>
                      </w:r>
                    </w:p>
                    <w:p w14:paraId="0A546D1A" w14:textId="5FF6812D" w:rsidR="00C4603E" w:rsidRDefault="009A290E" w:rsidP="00C46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Price(</w:t>
                      </w:r>
                      <w:proofErr w:type="gramStart"/>
                      <w:r>
                        <w:t>N,K</w:t>
                      </w:r>
                      <w:proofErr w:type="gramEnd"/>
                      <w:r>
                        <w:t>) / Fund AUM &lt; c</w:t>
                      </w:r>
                    </w:p>
                    <w:p w14:paraId="42083696" w14:textId="10A77462" w:rsidR="009A290E" w:rsidRDefault="009D0F56" w:rsidP="00C46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Expected hedged</w:t>
                      </w:r>
                      <w:r w:rsidR="00CA1203">
                        <w:t xml:space="preserve"> </w:t>
                      </w:r>
                      <w:r w:rsidR="002A6759">
                        <w:t>returns</w:t>
                      </w:r>
                      <w:r w:rsidR="00CA1203">
                        <w:t xml:space="preserve">/ </w:t>
                      </w:r>
                      <w:r>
                        <w:t>Expected unhedged</w:t>
                      </w:r>
                      <w:r w:rsidR="00CA1203">
                        <w:t xml:space="preserve"> </w:t>
                      </w:r>
                      <w:r w:rsidR="002A6759">
                        <w:t xml:space="preserve">returns </w:t>
                      </w:r>
                      <w:r w:rsidR="002E20E9">
                        <w:t>&lt; rho</w:t>
                      </w:r>
                    </w:p>
                    <w:p w14:paraId="3DDD7475" w14:textId="55ED661D" w:rsidR="002E20E9" w:rsidRDefault="00406EE9" w:rsidP="00406EE9">
                      <w:r>
                        <w:t xml:space="preserve">Where L is the portfolio </w:t>
                      </w:r>
                      <w:r w:rsidR="002A6759">
                        <w:t>value</w:t>
                      </w:r>
                      <w:r>
                        <w:t xml:space="preserve"> </w:t>
                      </w:r>
                      <w:r w:rsidR="00BF1218">
                        <w:t xml:space="preserve">at t = T, alpha is the significance level </w:t>
                      </w:r>
                      <w:r w:rsidR="002B1298">
                        <w:t>of CVaR, N is a vector for the number of units of option</w:t>
                      </w:r>
                      <w:r w:rsidR="00551828">
                        <w:t>s in each leg, K is a vector for strikes for each leg</w:t>
                      </w:r>
                      <w:r w:rsidR="001702A9">
                        <w:t xml:space="preserve"> and H is the fraction of portfolio to be hedged.</w:t>
                      </w:r>
                    </w:p>
                    <w:p w14:paraId="0F24FBED" w14:textId="3FE55CDF" w:rsidR="00ED3C52" w:rsidRDefault="00ED3C52" w:rsidP="001A4D4A">
                      <w:pPr>
                        <w:spacing w:after="0"/>
                      </w:pPr>
                      <w:r>
                        <w:t xml:space="preserve">abs(N) </w:t>
                      </w:r>
                      <w:r w:rsidR="00536275">
                        <w:t>are</w:t>
                      </w:r>
                      <w:r>
                        <w:t xml:space="preserve"> the number of units</w:t>
                      </w:r>
                    </w:p>
                    <w:p w14:paraId="6E3FA2B3" w14:textId="7F1515D8" w:rsidR="002B7E93" w:rsidRDefault="002B7E93" w:rsidP="00406EE9">
                      <w:r>
                        <w:t>N</w:t>
                      </w:r>
                      <w:r w:rsidR="00536275">
                        <w:t>i</w:t>
                      </w:r>
                      <w:r>
                        <w:t>&lt;0 signifies short and N</w:t>
                      </w:r>
                      <w:r w:rsidR="00536275">
                        <w:t>i</w:t>
                      </w:r>
                      <w:r>
                        <w:t>&gt;0 signifies long</w:t>
                      </w:r>
                    </w:p>
                    <w:p w14:paraId="540C0DF3" w14:textId="5B68EDAB" w:rsidR="001702A9" w:rsidRDefault="002B7E93" w:rsidP="001A4D4A">
                      <w:pPr>
                        <w:spacing w:after="0"/>
                      </w:pPr>
                      <w:r>
                        <w:t xml:space="preserve">abs(K) </w:t>
                      </w:r>
                      <w:r w:rsidR="00536275">
                        <w:t>a</w:t>
                      </w:r>
                      <w:r w:rsidR="00C425AF">
                        <w:t>r</w:t>
                      </w:r>
                      <w:r w:rsidR="00536275">
                        <w:t>e the strikes</w:t>
                      </w:r>
                    </w:p>
                    <w:p w14:paraId="4789CF15" w14:textId="149C400B" w:rsidR="00536275" w:rsidRDefault="00536275" w:rsidP="00406EE9">
                      <w:r>
                        <w:t>Ki&lt;0 signifies Put and Ki&gt;0 signifies Call</w:t>
                      </w:r>
                    </w:p>
                    <w:p w14:paraId="4F704C14" w14:textId="6343B3CE" w:rsidR="00963293" w:rsidRDefault="00E669D8" w:rsidP="00406EE9">
                      <w:r>
                        <w:t>Price(</w:t>
                      </w:r>
                      <w:proofErr w:type="gramStart"/>
                      <w:r>
                        <w:t>N,K</w:t>
                      </w:r>
                      <w:proofErr w:type="gramEnd"/>
                      <w:r>
                        <w:t>) is the total option premium spent to build the hedge</w:t>
                      </w:r>
                    </w:p>
                    <w:p w14:paraId="746C6888" w14:textId="5F87BA6C" w:rsidR="003D2635" w:rsidRDefault="00963293" w:rsidP="00A40EB6">
                      <w:pPr>
                        <w:pStyle w:val="Heading2"/>
                      </w:pPr>
                      <w:r>
                        <w:t>Methodology</w:t>
                      </w:r>
                    </w:p>
                    <w:p w14:paraId="11D95AAF" w14:textId="6B385C1F" w:rsidR="003D2635" w:rsidRDefault="003D2635" w:rsidP="005E6C2A">
                      <w:r>
                        <w:t>Step 1: Select a benchmark</w:t>
                      </w:r>
                      <w:r w:rsidR="00DB5F9F">
                        <w:t xml:space="preserve"> with a liquid options </w:t>
                      </w:r>
                      <w:r w:rsidR="00350B58">
                        <w:t>market and calculate covariance matrix and beta</w:t>
                      </w:r>
                      <w:r w:rsidR="001A1F65">
                        <w:t xml:space="preserve"> of the fund</w:t>
                      </w:r>
                    </w:p>
                    <w:p w14:paraId="7ADFF30F" w14:textId="6069B97B" w:rsidR="003D2635" w:rsidRDefault="003D2635" w:rsidP="005E6C2A">
                      <w:r>
                        <w:t>Step 2:</w:t>
                      </w:r>
                      <w:r w:rsidR="00DB5F9F">
                        <w:t xml:space="preserve"> </w:t>
                      </w:r>
                      <w:r w:rsidR="00437FCC">
                        <w:t>Between the available strikes fit a cubic spline to obtain a continuous option price function</w:t>
                      </w:r>
                    </w:p>
                    <w:p w14:paraId="7C2BA79C" w14:textId="316B3FF8" w:rsidR="00350B58" w:rsidRDefault="00350B58" w:rsidP="005E6C2A">
                      <w:r>
                        <w:t>Step 3:</w:t>
                      </w:r>
                      <w:r w:rsidR="00437FCC">
                        <w:t xml:space="preserve"> </w:t>
                      </w:r>
                      <w:r w:rsidR="009D30F3">
                        <w:t>Simulate benchmark and fund over the holding period</w:t>
                      </w:r>
                    </w:p>
                    <w:p w14:paraId="0BAF9561" w14:textId="33CD0411" w:rsidR="00963293" w:rsidRDefault="00D127F2" w:rsidP="00406EE9">
                      <w:r>
                        <w:t>Step 4:</w:t>
                      </w:r>
                      <w:r w:rsidR="00175D6E">
                        <w:t xml:space="preserve"> Run </w:t>
                      </w:r>
                      <w:r w:rsidR="008F4788" w:rsidRPr="008F4788">
                        <w:t>Sequential Least S</w:t>
                      </w:r>
                      <w:r w:rsidR="003232DB">
                        <w:t>q</w:t>
                      </w:r>
                      <w:r w:rsidR="008F4788" w:rsidRPr="008F4788">
                        <w:t>uares Programming (SLSQP)</w:t>
                      </w:r>
                      <w:r w:rsidR="003232DB">
                        <w:t xml:space="preserve">, which is </w:t>
                      </w:r>
                      <w:proofErr w:type="spellStart"/>
                      <w:proofErr w:type="gramStart"/>
                      <w:r w:rsidR="003232DB">
                        <w:t>a</w:t>
                      </w:r>
                      <w:proofErr w:type="spellEnd"/>
                      <w:proofErr w:type="gramEnd"/>
                      <w:r w:rsidR="003232DB">
                        <w:t xml:space="preserve"> open-source non</w:t>
                      </w:r>
                      <w:r w:rsidR="00A40EB6">
                        <w:t>-</w:t>
                      </w:r>
                      <w:r w:rsidR="003232DB">
                        <w:t>linear optimizer</w:t>
                      </w:r>
                    </w:p>
                    <w:p w14:paraId="3A1ABB21" w14:textId="77777777" w:rsidR="009373A4" w:rsidRDefault="009373A4" w:rsidP="00406EE9"/>
                    <w:p w14:paraId="744CEEA2" w14:textId="77777777" w:rsidR="009373A4" w:rsidRDefault="009373A4" w:rsidP="00406EE9"/>
                    <w:p w14:paraId="2DD9187D" w14:textId="77777777" w:rsidR="009373A4" w:rsidRDefault="009373A4" w:rsidP="00406EE9"/>
                    <w:p w14:paraId="540FFF77" w14:textId="77777777" w:rsidR="009373A4" w:rsidRDefault="009373A4" w:rsidP="00406EE9"/>
                    <w:p w14:paraId="13B69194" w14:textId="77777777" w:rsidR="009373A4" w:rsidRDefault="009373A4" w:rsidP="00406EE9"/>
                    <w:p w14:paraId="154AC0AF" w14:textId="77777777" w:rsidR="009373A4" w:rsidRDefault="009373A4" w:rsidP="00406EE9"/>
                    <w:p w14:paraId="1C22F120" w14:textId="77777777" w:rsidR="00EF41B3" w:rsidRDefault="00EF41B3" w:rsidP="009373A4">
                      <w:pPr>
                        <w:pStyle w:val="Heading2"/>
                      </w:pPr>
                    </w:p>
                    <w:p w14:paraId="5B1AE6E1" w14:textId="68CD0418" w:rsidR="009373A4" w:rsidRDefault="009373A4" w:rsidP="009373A4">
                      <w:pPr>
                        <w:pStyle w:val="Heading2"/>
                      </w:pPr>
                      <w:r>
                        <w:t>Results</w:t>
                      </w:r>
                    </w:p>
                    <w:p w14:paraId="4465E60E" w14:textId="3E9E720E" w:rsidR="00342CAA" w:rsidRPr="00342CAA" w:rsidRDefault="00342CAA" w:rsidP="00342CAA">
                      <w:proofErr w:type="gramStart"/>
                      <w:r>
                        <w:t>Strategy :</w:t>
                      </w:r>
                      <w:proofErr w:type="gramEnd"/>
                      <w:r>
                        <w:t xml:space="preserve"> Buy 9</w:t>
                      </w:r>
                      <w:r w:rsidR="002E3CC1">
                        <w:t>1</w:t>
                      </w:r>
                      <w:r>
                        <w:t xml:space="preserve">% Moneyness Put </w:t>
                      </w:r>
                      <w:r w:rsidR="002E3CC1">
                        <w:t>in benchmark – 3.5 units for every 1000 units of benchmark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72"/>
                        <w:gridCol w:w="3372"/>
                        <w:gridCol w:w="3372"/>
                      </w:tblGrid>
                      <w:tr w:rsidR="00F11EC1" w14:paraId="28501042" w14:textId="77777777" w:rsidTr="00342CAA">
                        <w:tc>
                          <w:tcPr>
                            <w:tcW w:w="3372" w:type="dxa"/>
                          </w:tcPr>
                          <w:p w14:paraId="7BF5BBA1" w14:textId="3EBF5328" w:rsidR="00F11EC1" w:rsidRDefault="00F11EC1" w:rsidP="00406EE9">
                            <w:r>
                              <w:t>Metric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1D2C0B1F" w14:textId="63B80384" w:rsidR="00F11EC1" w:rsidRDefault="00F11EC1" w:rsidP="00406EE9">
                            <w:r>
                              <w:t>Hedged Fund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3DB37303" w14:textId="3E769064" w:rsidR="00F11EC1" w:rsidRDefault="00F11EC1" w:rsidP="00406EE9">
                            <w:r>
                              <w:t>Unhedged Fund</w:t>
                            </w:r>
                          </w:p>
                        </w:tc>
                      </w:tr>
                      <w:tr w:rsidR="00F11EC1" w14:paraId="41B01CEC" w14:textId="77777777" w:rsidTr="00342CAA">
                        <w:tc>
                          <w:tcPr>
                            <w:tcW w:w="3372" w:type="dxa"/>
                          </w:tcPr>
                          <w:p w14:paraId="228C8979" w14:textId="1CA1DD05" w:rsidR="00F11EC1" w:rsidRDefault="000E1775" w:rsidP="00406EE9">
                            <w:r>
                              <w:t>Annual Returns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0482A41A" w14:textId="529B6A83" w:rsidR="00F11EC1" w:rsidRDefault="000E1775" w:rsidP="00406EE9">
                            <w:r>
                              <w:t>13.1%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22DE3551" w14:textId="39249B29" w:rsidR="00F11EC1" w:rsidRDefault="00342CAA" w:rsidP="00406EE9">
                            <w:r>
                              <w:t>11.8%</w:t>
                            </w:r>
                          </w:p>
                        </w:tc>
                      </w:tr>
                      <w:tr w:rsidR="00F11EC1" w14:paraId="6F2E2102" w14:textId="77777777" w:rsidTr="00342CAA">
                        <w:tc>
                          <w:tcPr>
                            <w:tcW w:w="3372" w:type="dxa"/>
                          </w:tcPr>
                          <w:p w14:paraId="1C5261ED" w14:textId="1E2F4797" w:rsidR="00F11EC1" w:rsidRDefault="00342CAA" w:rsidP="00406EE9">
                            <w:r>
                              <w:t>Annual Standard Deviation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1F8392EC" w14:textId="4B8A9888" w:rsidR="00F11EC1" w:rsidRDefault="00342CAA" w:rsidP="00406EE9">
                            <w:r>
                              <w:t>19.8%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15A828B3" w14:textId="14C9CDFF" w:rsidR="00F11EC1" w:rsidRDefault="00342CAA" w:rsidP="00406EE9">
                            <w:r>
                              <w:t>15.9%</w:t>
                            </w:r>
                          </w:p>
                        </w:tc>
                      </w:tr>
                      <w:tr w:rsidR="00F11EC1" w14:paraId="68DA430B" w14:textId="77777777" w:rsidTr="00342CAA">
                        <w:tc>
                          <w:tcPr>
                            <w:tcW w:w="3372" w:type="dxa"/>
                          </w:tcPr>
                          <w:p w14:paraId="57B53C97" w14:textId="608F2633" w:rsidR="00F11EC1" w:rsidRDefault="00342CAA" w:rsidP="00406EE9">
                            <w:r>
                              <w:t>Sharpe Ratio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5EE2583A" w14:textId="5C207E66" w:rsidR="00F11EC1" w:rsidRDefault="00342CAA" w:rsidP="00406EE9">
                            <w:r>
                              <w:t>0.46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2C5F8E13" w14:textId="4636926E" w:rsidR="00F11EC1" w:rsidRDefault="00342CAA" w:rsidP="00406EE9">
                            <w:r>
                              <w:t>0.74</w:t>
                            </w:r>
                          </w:p>
                        </w:tc>
                      </w:tr>
                      <w:tr w:rsidR="00F11EC1" w14:paraId="5CCE33C5" w14:textId="77777777" w:rsidTr="00342CAA">
                        <w:tc>
                          <w:tcPr>
                            <w:tcW w:w="3372" w:type="dxa"/>
                          </w:tcPr>
                          <w:p w14:paraId="184AFC87" w14:textId="64C91BE5" w:rsidR="00F11EC1" w:rsidRDefault="00342CAA" w:rsidP="00406EE9">
                            <w:r>
                              <w:t>Calmar Ratio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0FC6805E" w14:textId="66C19484" w:rsidR="00F11EC1" w:rsidRDefault="00342CAA" w:rsidP="00406EE9">
                            <w:r>
                              <w:t>0.7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4D3747E6" w14:textId="16D901CC" w:rsidR="00F11EC1" w:rsidRDefault="00342CAA" w:rsidP="00406EE9">
                            <w:r>
                              <w:t>0.81</w:t>
                            </w:r>
                          </w:p>
                        </w:tc>
                      </w:tr>
                      <w:tr w:rsidR="00F11EC1" w14:paraId="1D2F7B3B" w14:textId="77777777" w:rsidTr="00342CAA">
                        <w:tc>
                          <w:tcPr>
                            <w:tcW w:w="3372" w:type="dxa"/>
                          </w:tcPr>
                          <w:p w14:paraId="6DA4F803" w14:textId="0832FCA4" w:rsidR="00F11EC1" w:rsidRDefault="00342CAA" w:rsidP="00406EE9">
                            <w:r>
                              <w:t>CVaR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6CCB770F" w14:textId="7648E3F5" w:rsidR="00F11EC1" w:rsidRDefault="00342CAA" w:rsidP="00406EE9">
                            <w:r>
                              <w:t>-27%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54A370E9" w14:textId="441CF2A6" w:rsidR="00F11EC1" w:rsidRDefault="00342CAA" w:rsidP="00406EE9">
                            <w:r>
                              <w:t>-9%</w:t>
                            </w:r>
                          </w:p>
                        </w:tc>
                      </w:tr>
                      <w:tr w:rsidR="00342CAA" w14:paraId="72AA292B" w14:textId="77777777" w:rsidTr="00342CAA">
                        <w:tc>
                          <w:tcPr>
                            <w:tcW w:w="3372" w:type="dxa"/>
                          </w:tcPr>
                          <w:p w14:paraId="12CAE28B" w14:textId="52B090F3" w:rsidR="00342CAA" w:rsidRDefault="00342CAA" w:rsidP="00406EE9">
                            <w:r>
                              <w:t>Cost of Hedge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0C619935" w14:textId="595D6105" w:rsidR="00342CAA" w:rsidRDefault="00342CAA" w:rsidP="00406EE9">
                            <w:r>
                              <w:t>2.5%</w:t>
                            </w:r>
                          </w:p>
                        </w:tc>
                        <w:tc>
                          <w:tcPr>
                            <w:tcW w:w="3372" w:type="dxa"/>
                          </w:tcPr>
                          <w:p w14:paraId="173F4E43" w14:textId="719D4FF4" w:rsidR="00342CAA" w:rsidRDefault="00342CAA" w:rsidP="00406EE9">
                            <w:r>
                              <w:t>0%</w:t>
                            </w:r>
                          </w:p>
                        </w:tc>
                      </w:tr>
                    </w:tbl>
                    <w:p w14:paraId="219DAC7E" w14:textId="77777777" w:rsidR="00C425AF" w:rsidRDefault="00C425AF" w:rsidP="00406EE9"/>
                    <w:p w14:paraId="412CB721" w14:textId="6346D015" w:rsidR="00AF431D" w:rsidRDefault="00EF41B3">
                      <w:r w:rsidRPr="00EF41B3">
                        <w:rPr>
                          <w:rStyle w:val="Heading2Char"/>
                        </w:rPr>
                        <w:t xml:space="preserve">Code </w:t>
                      </w:r>
                      <w:proofErr w:type="gramStart"/>
                      <w:r w:rsidRPr="00EF41B3">
                        <w:rPr>
                          <w:rStyle w:val="Heading2Char"/>
                        </w:rPr>
                        <w:t>Repository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7" w:history="1">
                        <w:r w:rsidRPr="00EF41B3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20B80" wp14:editId="467A47DC">
                <wp:simplePos x="0" y="0"/>
                <wp:positionH relativeFrom="column">
                  <wp:posOffset>3649345</wp:posOffset>
                </wp:positionH>
                <wp:positionV relativeFrom="paragraph">
                  <wp:posOffset>6187440</wp:posOffset>
                </wp:positionV>
                <wp:extent cx="130175" cy="425450"/>
                <wp:effectExtent l="19050" t="19050" r="41275" b="12700"/>
                <wp:wrapNone/>
                <wp:docPr id="916923885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425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2A76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287.35pt;margin-top:487.2pt;width:10.2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" adj="330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DEA9" wp14:editId="7AFFE828">
                <wp:simplePos x="0" y="0"/>
                <wp:positionH relativeFrom="margin">
                  <wp:posOffset>3246755</wp:posOffset>
                </wp:positionH>
                <wp:positionV relativeFrom="paragraph">
                  <wp:posOffset>6195060</wp:posOffset>
                </wp:positionV>
                <wp:extent cx="130175" cy="425450"/>
                <wp:effectExtent l="19050" t="0" r="41275" b="31750"/>
                <wp:wrapNone/>
                <wp:docPr id="1484225437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175" cy="425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899F" id="Arrow: Up 3" o:spid="_x0000_s1026" type="#_x0000_t68" style="position:absolute;margin-left:255.65pt;margin-top:487.8pt;width:10.25pt;height:33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" adj="3304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B78F4" wp14:editId="5B5C323B">
                <wp:simplePos x="0" y="0"/>
                <wp:positionH relativeFrom="column">
                  <wp:posOffset>2613660</wp:posOffset>
                </wp:positionH>
                <wp:positionV relativeFrom="paragraph">
                  <wp:posOffset>6667500</wp:posOffset>
                </wp:positionV>
                <wp:extent cx="1699260" cy="434340"/>
                <wp:effectExtent l="0" t="0" r="15240" b="22860"/>
                <wp:wrapNone/>
                <wp:docPr id="49604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34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F1F94" w14:textId="2BAB8CE4" w:rsidR="00507EB2" w:rsidRPr="00816FF1" w:rsidRDefault="00DD73AE" w:rsidP="00816FF1">
                            <w:r>
                              <w:t>Calculate payoff</w:t>
                            </w:r>
                            <w:r w:rsidR="00507EB2">
                              <w:t>s, fund values and CVaR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78F4" id="Text Box 1" o:spid="_x0000_s1027" type="#_x0000_t202" style="position:absolute;left:0;text-align:left;margin-left:205.8pt;margin-top:525pt;width:133.8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" fillcolor="#9cc2e5 [1944]" strokeweight=".5pt">
                <v:textbox>
                  <w:txbxContent>
                    <w:p w14:paraId="1DBF1F94" w14:textId="2BAB8CE4" w:rsidR="00507EB2" w:rsidRPr="00816FF1" w:rsidRDefault="00DD73AE" w:rsidP="00816FF1">
                      <w:r>
                        <w:t>Calculate payoff</w:t>
                      </w:r>
                      <w:r w:rsidR="00507EB2">
                        <w:t>s, fund values and CVaR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1459C" wp14:editId="402B6205">
                <wp:simplePos x="0" y="0"/>
                <wp:positionH relativeFrom="column">
                  <wp:posOffset>4411980</wp:posOffset>
                </wp:positionH>
                <wp:positionV relativeFrom="paragraph">
                  <wp:posOffset>5535930</wp:posOffset>
                </wp:positionV>
                <wp:extent cx="701040" cy="484505"/>
                <wp:effectExtent l="0" t="19050" r="41910" b="29845"/>
                <wp:wrapNone/>
                <wp:docPr id="75791030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AA42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47.4pt;margin-top:435.9pt;width:55.2pt;height:38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" adj="1413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AB21E" wp14:editId="58F4BE0A">
                <wp:simplePos x="0" y="0"/>
                <wp:positionH relativeFrom="column">
                  <wp:posOffset>2644140</wp:posOffset>
                </wp:positionH>
                <wp:positionV relativeFrom="paragraph">
                  <wp:posOffset>5440680</wp:posOffset>
                </wp:positionV>
                <wp:extent cx="1699260" cy="693420"/>
                <wp:effectExtent l="0" t="0" r="15240" b="11430"/>
                <wp:wrapNone/>
                <wp:docPr id="1773487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93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472FA" w14:textId="73DE3729" w:rsidR="00920391" w:rsidRPr="00531639" w:rsidRDefault="00CA2258" w:rsidP="005316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31639">
                              <w:rPr>
                                <w:sz w:val="36"/>
                                <w:szCs w:val="36"/>
                              </w:rPr>
                              <w:t>SLSQP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21E" id="_x0000_s1028" type="#_x0000_t202" style="position:absolute;left:0;text-align:left;margin-left:208.2pt;margin-top:428.4pt;width:133.8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" fillcolor="#a8d08d [1945]" strokeweight=".5pt">
                <v:textbox>
                  <w:txbxContent>
                    <w:p w14:paraId="1BC472FA" w14:textId="73DE3729" w:rsidR="00920391" w:rsidRPr="00531639" w:rsidRDefault="00CA2258" w:rsidP="005316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31639">
                        <w:rPr>
                          <w:sz w:val="36"/>
                          <w:szCs w:val="36"/>
                        </w:rPr>
                        <w:t>SLSQP Optimizer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A5115" wp14:editId="2D2E014D">
                <wp:simplePos x="0" y="0"/>
                <wp:positionH relativeFrom="column">
                  <wp:posOffset>1889760</wp:posOffset>
                </wp:positionH>
                <wp:positionV relativeFrom="paragraph">
                  <wp:posOffset>5513070</wp:posOffset>
                </wp:positionV>
                <wp:extent cx="701040" cy="484505"/>
                <wp:effectExtent l="0" t="19050" r="41910" b="29845"/>
                <wp:wrapNone/>
                <wp:docPr id="88203524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CBE00" id="Arrow: Right 2" o:spid="_x0000_s1026" type="#_x0000_t13" style="position:absolute;margin-left:148.8pt;margin-top:434.1pt;width:55.2pt;height:38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" adj="1413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BD797" wp14:editId="4D4D6524">
                <wp:simplePos x="0" y="0"/>
                <wp:positionH relativeFrom="column">
                  <wp:posOffset>83820</wp:posOffset>
                </wp:positionH>
                <wp:positionV relativeFrom="paragraph">
                  <wp:posOffset>5394960</wp:posOffset>
                </wp:positionV>
                <wp:extent cx="1699260" cy="1805940"/>
                <wp:effectExtent l="0" t="0" r="15240" b="22860"/>
                <wp:wrapNone/>
                <wp:docPr id="1442133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8059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4CEC0" w14:textId="27D7E017" w:rsidR="00585BC8" w:rsidRDefault="00585BC8" w:rsidP="00531639">
                            <w:pPr>
                              <w:pStyle w:val="Heading2"/>
                            </w:pPr>
                            <w:r>
                              <w:t>Input</w:t>
                            </w:r>
                          </w:p>
                          <w:p w14:paraId="23F8CDE8" w14:textId="5FF68DEF" w:rsidR="00585BC8" w:rsidRDefault="007807CB">
                            <w:r>
                              <w:t>Fund and Benchmark Simulated Values</w:t>
                            </w:r>
                          </w:p>
                          <w:p w14:paraId="19B28AD2" w14:textId="3DF23942" w:rsidR="0070706F" w:rsidRDefault="0070706F">
                            <w:r>
                              <w:t>Objective Function</w:t>
                            </w:r>
                          </w:p>
                          <w:p w14:paraId="67013596" w14:textId="6F80935B" w:rsidR="00920391" w:rsidRDefault="00A40EB6" w:rsidP="00920391">
                            <w:pPr>
                              <w:spacing w:after="0"/>
                            </w:pPr>
                            <w:r>
                              <w:t>Constraints</w:t>
                            </w:r>
                          </w:p>
                          <w:p w14:paraId="0D15385D" w14:textId="53EA494F" w:rsidR="00920391" w:rsidRDefault="00920391" w:rsidP="009203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Cost</w:t>
                            </w:r>
                          </w:p>
                          <w:p w14:paraId="719883B4" w14:textId="623EC6E2" w:rsidR="00920391" w:rsidRDefault="00920391" w:rsidP="009203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Expected Returns</w:t>
                            </w:r>
                          </w:p>
                          <w:p w14:paraId="20F01309" w14:textId="4D4C5E55" w:rsidR="00920391" w:rsidRDefault="00920391" w:rsidP="009203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Bounds on Strikes</w:t>
                            </w:r>
                          </w:p>
                          <w:p w14:paraId="635EC8AC" w14:textId="464548EC" w:rsidR="00920391" w:rsidRDefault="00920391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D797" id="_x0000_s1029" type="#_x0000_t202" style="position:absolute;left:0;text-align:left;margin-left:6.6pt;margin-top:424.8pt;width:133.8pt;height:14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" fillcolor="#ededed [662]" strokeweight=".5pt">
                <v:textbox>
                  <w:txbxContent>
                    <w:p w14:paraId="66A4CEC0" w14:textId="27D7E017" w:rsidR="00585BC8" w:rsidRDefault="00585BC8" w:rsidP="00531639">
                      <w:pPr>
                        <w:pStyle w:val="Heading2"/>
                      </w:pPr>
                      <w:r>
                        <w:t>Input</w:t>
                      </w:r>
                    </w:p>
                    <w:p w14:paraId="23F8CDE8" w14:textId="5FF68DEF" w:rsidR="00585BC8" w:rsidRDefault="007807CB">
                      <w:r>
                        <w:t>Fund and Benchmark Simulated Values</w:t>
                      </w:r>
                    </w:p>
                    <w:p w14:paraId="19B28AD2" w14:textId="3DF23942" w:rsidR="0070706F" w:rsidRDefault="0070706F">
                      <w:r>
                        <w:t>Objective Function</w:t>
                      </w:r>
                    </w:p>
                    <w:p w14:paraId="67013596" w14:textId="6F80935B" w:rsidR="00920391" w:rsidRDefault="00A40EB6" w:rsidP="00920391">
                      <w:pPr>
                        <w:spacing w:after="0"/>
                      </w:pPr>
                      <w:r>
                        <w:t>Constraints</w:t>
                      </w:r>
                    </w:p>
                    <w:p w14:paraId="0D15385D" w14:textId="53EA494F" w:rsidR="00920391" w:rsidRDefault="00920391" w:rsidP="009203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Cost</w:t>
                      </w:r>
                    </w:p>
                    <w:p w14:paraId="719883B4" w14:textId="623EC6E2" w:rsidR="00920391" w:rsidRDefault="00920391" w:rsidP="009203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Expected Returns</w:t>
                      </w:r>
                    </w:p>
                    <w:p w14:paraId="20F01309" w14:textId="4D4C5E55" w:rsidR="00920391" w:rsidRDefault="00920391" w:rsidP="009203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Bounds on Strikes</w:t>
                      </w:r>
                    </w:p>
                    <w:p w14:paraId="635EC8AC" w14:textId="464548EC" w:rsidR="00920391" w:rsidRDefault="0092039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4E6DC" wp14:editId="766DBD97">
                <wp:simplePos x="0" y="0"/>
                <wp:positionH relativeFrom="margin">
                  <wp:posOffset>5163820</wp:posOffset>
                </wp:positionH>
                <wp:positionV relativeFrom="paragraph">
                  <wp:posOffset>5547360</wp:posOffset>
                </wp:positionV>
                <wp:extent cx="1409700" cy="1645920"/>
                <wp:effectExtent l="0" t="0" r="19050" b="11430"/>
                <wp:wrapNone/>
                <wp:docPr id="1663968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645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EF430" w14:textId="6F616A8D" w:rsidR="00DD1EB3" w:rsidRDefault="00DD1EB3" w:rsidP="00531639">
                            <w:pPr>
                              <w:pStyle w:val="Heading3"/>
                            </w:pPr>
                            <w:r>
                              <w:t>Output</w:t>
                            </w:r>
                          </w:p>
                          <w:p w14:paraId="78504A92" w14:textId="20659DD4" w:rsidR="00DD1EB3" w:rsidRDefault="00DD1EB3" w:rsidP="00DD1EB3">
                            <w:r>
                              <w:t>Optimal Type</w:t>
                            </w:r>
                          </w:p>
                          <w:p w14:paraId="2FA563F5" w14:textId="3C244C96" w:rsidR="00DD1EB3" w:rsidRDefault="00DD1EB3" w:rsidP="00DD1EB3">
                            <w:r>
                              <w:t>Optimal Strike</w:t>
                            </w:r>
                          </w:p>
                          <w:p w14:paraId="6A5F6873" w14:textId="0578EB81" w:rsidR="00DD1EB3" w:rsidRDefault="00DD1EB3" w:rsidP="00DD1EB3">
                            <w:r>
                              <w:t>Optimal Quantity</w:t>
                            </w:r>
                          </w:p>
                          <w:p w14:paraId="047EB5E1" w14:textId="16156454" w:rsidR="00531639" w:rsidRDefault="00531639" w:rsidP="00DD1EB3">
                            <w:r>
                              <w:t>Optimal Hedge Ratio</w:t>
                            </w:r>
                          </w:p>
                          <w:p w14:paraId="715C5081" w14:textId="22C51191" w:rsidR="00531639" w:rsidRDefault="00531639" w:rsidP="00DD1EB3">
                            <w:r>
                              <w:t>Minimized CVaR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E6DC" id="_x0000_s1030" type="#_x0000_t202" style="position:absolute;left:0;text-align:left;margin-left:406.6pt;margin-top:436.8pt;width:111pt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" fillcolor="#f2f2f2 [3052]" strokeweight=".5pt">
                <v:textbox>
                  <w:txbxContent>
                    <w:p w14:paraId="55BEF430" w14:textId="6F616A8D" w:rsidR="00DD1EB3" w:rsidRDefault="00DD1EB3" w:rsidP="00531639">
                      <w:pPr>
                        <w:pStyle w:val="Heading3"/>
                      </w:pPr>
                      <w:r>
                        <w:t>Output</w:t>
                      </w:r>
                    </w:p>
                    <w:p w14:paraId="78504A92" w14:textId="20659DD4" w:rsidR="00DD1EB3" w:rsidRDefault="00DD1EB3" w:rsidP="00DD1EB3">
                      <w:r>
                        <w:t>Optimal Type</w:t>
                      </w:r>
                    </w:p>
                    <w:p w14:paraId="2FA563F5" w14:textId="3C244C96" w:rsidR="00DD1EB3" w:rsidRDefault="00DD1EB3" w:rsidP="00DD1EB3">
                      <w:r>
                        <w:t>Optimal Strike</w:t>
                      </w:r>
                    </w:p>
                    <w:p w14:paraId="6A5F6873" w14:textId="0578EB81" w:rsidR="00DD1EB3" w:rsidRDefault="00DD1EB3" w:rsidP="00DD1EB3">
                      <w:r>
                        <w:t>Optimal Quantity</w:t>
                      </w:r>
                    </w:p>
                    <w:p w14:paraId="047EB5E1" w14:textId="16156454" w:rsidR="00531639" w:rsidRDefault="00531639" w:rsidP="00DD1EB3">
                      <w:r>
                        <w:t>Optimal Hedge Ratio</w:t>
                      </w:r>
                    </w:p>
                    <w:p w14:paraId="715C5081" w14:textId="22C51191" w:rsidR="00531639" w:rsidRDefault="00531639" w:rsidP="00DD1EB3">
                      <w:r>
                        <w:t>Minimized CVaR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0E8">
        <w:t>Hedged Option Overlay on Fund</w:t>
      </w:r>
    </w:p>
    <w:sectPr w:rsidR="00CF6B07" w:rsidRPr="00CF6B07" w:rsidSect="00B0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BBD"/>
    <w:multiLevelType w:val="hybridMultilevel"/>
    <w:tmpl w:val="C2A0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56DC2"/>
    <w:multiLevelType w:val="hybridMultilevel"/>
    <w:tmpl w:val="11D688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4021">
    <w:abstractNumId w:val="1"/>
  </w:num>
  <w:num w:numId="2" w16cid:durableId="160630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A"/>
    <w:rsid w:val="000E1775"/>
    <w:rsid w:val="001702A9"/>
    <w:rsid w:val="00175D6E"/>
    <w:rsid w:val="001A1F65"/>
    <w:rsid w:val="001A4D4A"/>
    <w:rsid w:val="001B57FE"/>
    <w:rsid w:val="002200E8"/>
    <w:rsid w:val="002A6759"/>
    <w:rsid w:val="002B1298"/>
    <w:rsid w:val="002B7E93"/>
    <w:rsid w:val="002E20E9"/>
    <w:rsid w:val="002E3CC1"/>
    <w:rsid w:val="003232DB"/>
    <w:rsid w:val="00342CAA"/>
    <w:rsid w:val="00350B58"/>
    <w:rsid w:val="003C7330"/>
    <w:rsid w:val="003D2635"/>
    <w:rsid w:val="00406EE9"/>
    <w:rsid w:val="00437FCC"/>
    <w:rsid w:val="00507EB2"/>
    <w:rsid w:val="00531639"/>
    <w:rsid w:val="00532003"/>
    <w:rsid w:val="00532B54"/>
    <w:rsid w:val="00536275"/>
    <w:rsid w:val="00537B93"/>
    <w:rsid w:val="00551828"/>
    <w:rsid w:val="00566AC2"/>
    <w:rsid w:val="00585BC8"/>
    <w:rsid w:val="005E6C2A"/>
    <w:rsid w:val="006360D2"/>
    <w:rsid w:val="00636249"/>
    <w:rsid w:val="0070706F"/>
    <w:rsid w:val="007240C7"/>
    <w:rsid w:val="00760B22"/>
    <w:rsid w:val="007807CB"/>
    <w:rsid w:val="00805332"/>
    <w:rsid w:val="00816FF1"/>
    <w:rsid w:val="008331CC"/>
    <w:rsid w:val="008F4788"/>
    <w:rsid w:val="00920391"/>
    <w:rsid w:val="009373A4"/>
    <w:rsid w:val="00941520"/>
    <w:rsid w:val="00963293"/>
    <w:rsid w:val="00971CA2"/>
    <w:rsid w:val="009A290E"/>
    <w:rsid w:val="009D0F56"/>
    <w:rsid w:val="009D30F3"/>
    <w:rsid w:val="009F41E4"/>
    <w:rsid w:val="009F7CC3"/>
    <w:rsid w:val="00A40C0B"/>
    <w:rsid w:val="00A40EB6"/>
    <w:rsid w:val="00AF431D"/>
    <w:rsid w:val="00B07558"/>
    <w:rsid w:val="00BF1218"/>
    <w:rsid w:val="00C425AF"/>
    <w:rsid w:val="00C4272D"/>
    <w:rsid w:val="00C4603E"/>
    <w:rsid w:val="00CA1203"/>
    <w:rsid w:val="00CA2258"/>
    <w:rsid w:val="00CF6B07"/>
    <w:rsid w:val="00D127F2"/>
    <w:rsid w:val="00DB381E"/>
    <w:rsid w:val="00DB5F9F"/>
    <w:rsid w:val="00DD1EB3"/>
    <w:rsid w:val="00DD73AE"/>
    <w:rsid w:val="00E0499C"/>
    <w:rsid w:val="00E23A8A"/>
    <w:rsid w:val="00E669D8"/>
    <w:rsid w:val="00E92AE6"/>
    <w:rsid w:val="00ED3C52"/>
    <w:rsid w:val="00EF41B3"/>
    <w:rsid w:val="00F11EC1"/>
    <w:rsid w:val="00F87FA8"/>
    <w:rsid w:val="00FA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6EC"/>
  <w15:chartTrackingRefBased/>
  <w15:docId w15:val="{5C193762-289C-40D6-8C58-73FFAA89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0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1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1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.docs.live.net/520514892d605bb8/Desktop/One%20Pagers/Options%20Overla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520514892d605bb8/Desktop/One%20Pagers/Options%20Overlay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C7A7-0002-4881-B79E-4F126330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 Biswas</dc:creator>
  <cp:keywords/>
  <dc:description/>
  <cp:lastModifiedBy>Dipan Biswas</cp:lastModifiedBy>
  <cp:revision>3</cp:revision>
  <dcterms:created xsi:type="dcterms:W3CDTF">2023-06-12T14:14:00Z</dcterms:created>
  <dcterms:modified xsi:type="dcterms:W3CDTF">2023-06-13T03:47:00Z</dcterms:modified>
</cp:coreProperties>
</file>