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ReadEasy — Expected Output Template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7000"/>
          </w:tcPr>
          <w:p>
            <w:r>
              <w:t xml:space="preserve">Legal_bn.pdf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7000"/>
          </w:tcPr>
          <w:p>
            <w:r>
              <w:t xml:space="preserve">Legal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Language</w:t>
            </w:r>
          </w:p>
        </w:tc>
        <w:tc>
          <w:tcPr>
            <w:tcW w:type="dxa" w:w="7000"/>
          </w:tcPr>
          <w:p>
            <w:r>
              <w:t xml:space="preserve">Bangla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Page count</w:t>
            </w:r>
          </w:p>
        </w:tc>
        <w:tc>
          <w:tcPr>
            <w:tcW w:type="dxa" w:w="7000"/>
          </w:tcPr>
          <w:p>
            <w:r>
              <w:t xml:space="preserve">25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Extraction status</w:t>
            </w:r>
          </w:p>
        </w:tc>
        <w:tc>
          <w:tcPr>
            <w:tcW w:type="dxa" w:w="7000"/>
          </w:tcPr>
          <w:p>
            <w:r>
              <w:t xml:space="preserve">CLEAN — extracts correctly as Unicode Bangla text.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Content summary</w:t>
            </w:r>
          </w:p>
        </w:tc>
        <w:tc>
          <w:tcPr>
            <w:tcW w:type="dxa" w:w="7000"/>
          </w:tcPr>
          <w:p>
            <w:r>
              <w:t xml:space="preserve">Investment Corporation of Bangladesh Act, 2014 — full legal act with table of contents and numbered sections (ধারা ১–৪২).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Expected Improvements</w:t>
      </w:r>
    </w:p>
    <w:p>
      <w:pPr>
        <w:pStyle w:val="ListParagraph"/>
        <w:numPr>
          <w:ilvl w:val="0"/>
          <w:numId w:val="1"/>
        </w:numPr>
      </w:pPr>
      <w:r>
        <w:t xml:space="preserve">Plain-language summary of what each section legally requires/permits, without dropping legal force</w:t>
      </w:r>
    </w:p>
    <w:p>
      <w:pPr>
        <w:pStyle w:val="ListParagraph"/>
        <w:numPr>
          <w:ilvl w:val="0"/>
          <w:numId w:val="1"/>
        </w:numPr>
      </w:pPr>
      <w:r>
        <w:t xml:space="preserve">Preserve every section number and its correspondence to the original (ধারা ১, ধারা ২, etc.)</w:t>
      </w:r>
    </w:p>
    <w:p>
      <w:pPr>
        <w:pStyle w:val="ListParagraph"/>
        <w:numPr>
          <w:ilvl w:val="0"/>
          <w:numId w:val="1"/>
        </w:numPr>
      </w:pPr>
      <w:r>
        <w:t xml:space="preserve">Flag genuinely ambiguous legal phrasing rather than confidently resolving it</w:t>
      </w:r>
    </w:p>
    <w:p>
      <w:pPr>
        <w:pStyle w:val="Heading2"/>
        <w:spacing w:before="200"/>
      </w:pPr>
      <w:r>
        <w:t xml:space="preserve">Must NOT Change (fact-preservation check)</w:t>
      </w:r>
    </w:p>
    <w:p>
      <w:r>
        <w:t xml:space="preserve">Section numbers, statutory dates, defined legal terms, entity names (e.g. "কর্পোরেশন" as the defined term).</w:t>
      </w:r>
    </w:p>
    <w:p>
      <w:pPr>
        <w:pStyle w:val="Heading2"/>
        <w:spacing w:before="200"/>
      </w:pPr>
      <w:r>
        <w:t xml:space="preserve">Testing Note</w:t>
      </w:r>
    </w:p>
    <w:p>
      <w:r>
        <w:t xml:space="preserve">Good candidate for your self-check demo moment — legal acts often have cross-references between sections that are easy to lose in simplification.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2026-07-16T07:28:42.746Z</dcterms:created>
  <dcterms:modified xsi:type="dcterms:W3CDTF">2026-07-16T07:28:42.746Z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