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ReadEasy — Expected Output Template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Document</w:t>
            </w:r>
          </w:p>
        </w:tc>
        <w:tc>
          <w:tcPr>
            <w:tcW w:type="dxa" w:w="7000"/>
          </w:tcPr>
          <w:p>
            <w:r>
              <w:t xml:space="preserve">Covid data_bn.pdf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Mode</w:t>
            </w:r>
          </w:p>
        </w:tc>
        <w:tc>
          <w:tcPr>
            <w:tcW w:type="dxa" w:w="7000"/>
          </w:tcPr>
          <w:p>
            <w:r>
              <w:t xml:space="preserve">Non-Native Speaker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Language</w:t>
            </w:r>
          </w:p>
        </w:tc>
        <w:tc>
          <w:tcPr>
            <w:tcW w:type="dxa" w:w="7000"/>
          </w:tcPr>
          <w:p>
            <w:r>
              <w:t xml:space="preserve">Bangla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Page count</w:t>
            </w:r>
          </w:p>
        </w:tc>
        <w:tc>
          <w:tcPr>
            <w:tcW w:type="dxa" w:w="7000"/>
          </w:tcPr>
          <w:p>
            <w:r>
              <w:t xml:space="preserve">8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Extraction status</w:t>
            </w:r>
          </w:p>
        </w:tc>
        <w:tc>
          <w:tcPr>
            <w:tcW w:type="dxa" w:w="7000"/>
          </w:tcPr>
          <w:p>
            <w:r>
              <w:t xml:space="preserve">MOSTLY CLEAN, but table headers/labels are partly in the same broken legacy-font encoding seen in Legal_bn_2 (stray fragments like "A`¨vewa" mixed into otherwise-readable Bangla).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Content summary</w:t>
            </w:r>
          </w:p>
        </w:tc>
        <w:tc>
          <w:tcPr>
            <w:tcW w:type="dxa" w:w="7000"/>
          </w:tcPr>
          <w:p>
            <w:r>
              <w:t xml:space="preserve">Government of Bangladesh Ministry of Health COVID-19 daily situation bulletin — narrative text plus multiple data tables (deaths by gender/age/division, test counts).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Expected Improvements</w:t>
      </w:r>
    </w:p>
    <w:p>
      <w:pPr>
        <w:pStyle w:val="ListParagraph"/>
        <w:numPr>
          <w:ilvl w:val="0"/>
          <w:numId w:val="1"/>
        </w:numPr>
      </w:pPr>
      <w:r>
        <w:t xml:space="preserve">Simplify bureaucratic/formal phrasing in the narrative sections</w:t>
      </w:r>
    </w:p>
    <w:p>
      <w:pPr>
        <w:pStyle w:val="ListParagraph"/>
        <w:numPr>
          <w:ilvl w:val="0"/>
          <w:numId w:val="1"/>
        </w:numPr>
      </w:pPr>
      <w:r>
        <w:t xml:space="preserve">Preserve all numbers, dates, and table structure exactly — this is a numbers-heavy public health document</w:t>
      </w:r>
    </w:p>
    <w:p>
      <w:pPr>
        <w:pStyle w:val="ListParagraph"/>
        <w:numPr>
          <w:ilvl w:val="0"/>
          <w:numId w:val="1"/>
        </w:numPr>
      </w:pPr>
      <w:r>
        <w:t xml:space="preserve">Explain technical terms (RT-PCR, GenXpert, Rapid Antigen) in plain language on first mention without removing the original term</w:t>
      </w:r>
    </w:p>
    <w:p>
      <w:pPr>
        <w:pStyle w:val="Heading2"/>
        <w:spacing w:before="200"/>
      </w:pPr>
      <w:r>
        <w:t xml:space="preserve">Must NOT Change (fact-preservation check)</w:t>
      </w:r>
    </w:p>
    <w:p>
      <w:r>
        <w:t xml:space="preserve">Any numeric values, dates, percentages, table row/column labels.</w:t>
      </w:r>
    </w:p>
    <w:p>
      <w:pPr>
        <w:pStyle w:val="Heading2"/>
        <w:spacing w:before="200"/>
      </w:pPr>
      <w:r>
        <w:t xml:space="preserve">Testing Note</w:t>
      </w:r>
    </w:p>
    <w:p>
      <w:r>
        <w:t xml:space="preserve">High-stakes numeric-preservation test — a transposed death-count number would be genuinely harmful. Prioritize this for self-check (Stage 2) testing. Also flag the garbled header fragments to Person 1.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2026-07-16T07:28:42.907Z</dcterms:created>
  <dcterms:modified xsi:type="dcterms:W3CDTF">2026-07-16T07:28:42.908Z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