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Legal_en_2.pdf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Legal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6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Mozilla Websites &amp; Communications Terms of Use.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Plain-language explanation of each section's practical meaning, without dropping legal force</w:t>
      </w:r>
    </w:p>
    <w:p>
      <w:pPr>
        <w:pStyle w:val="ListParagraph"/>
        <w:numPr>
          <w:ilvl w:val="0"/>
          <w:numId w:val="1"/>
        </w:numPr>
      </w:pPr>
      <w:r>
        <w:t xml:space="preserve">Preserve section titles/order</w:t>
      </w:r>
    </w:p>
    <w:p>
      <w:pPr>
        <w:pStyle w:val="ListParagraph"/>
        <w:numPr>
          <w:ilvl w:val="0"/>
          <w:numId w:val="1"/>
        </w:numPr>
      </w:pPr>
      <w:r>
        <w:t xml:space="preserve">Flag genuinely ambiguous language rather than resolving it confidently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Effective date, defined terms ("Websites," "Communications"), any binding-agreement language.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shorter counterpart to Legal_en.pdf — use this one for quick iteration, save the GitHub doc for final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2026-07-16T07:28:43.131Z</dcterms:created>
  <dcterms:modified xsi:type="dcterms:W3CDTF">2026-07-16T07:28:43.131Z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