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ReadEasy — Expected Output Template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0"/>
      </w:tblGrid>
      <w:tr>
        <w:tc>
          <w:tcPr>
            <w:tcW w:type="dxa" w:w="2500"/>
            <w:shd w:fill="EFEFEF" w:val="clear"/>
          </w:tcPr>
          <w:p>
            <w:r>
              <w:rPr>
                <w:b/>
                <w:bCs/>
              </w:rPr>
              <w:t xml:space="preserve">Document</w:t>
            </w:r>
          </w:p>
        </w:tc>
        <w:tc>
          <w:tcPr>
            <w:tcW w:type="dxa" w:w="7000"/>
          </w:tcPr>
          <w:p>
            <w:r>
              <w:t xml:space="preserve">Abstract_en_2.pdf</w:t>
            </w:r>
          </w:p>
        </w:tc>
      </w:tr>
      <w:tr>
        <w:tc>
          <w:tcPr>
            <w:tcW w:type="dxa" w:w="2500"/>
            <w:shd w:fill="EFEFEF" w:val="clear"/>
          </w:tcPr>
          <w:p>
            <w:r>
              <w:rPr>
                <w:b/>
                <w:bCs/>
              </w:rPr>
              <w:t xml:space="preserve">Mode</w:t>
            </w:r>
          </w:p>
        </w:tc>
        <w:tc>
          <w:tcPr>
            <w:tcW w:type="dxa" w:w="7000"/>
          </w:tcPr>
          <w:p>
            <w:r>
              <w:t xml:space="preserve">Non-Native Speaker</w:t>
            </w:r>
          </w:p>
        </w:tc>
      </w:tr>
      <w:tr>
        <w:tc>
          <w:tcPr>
            <w:tcW w:type="dxa" w:w="2500"/>
            <w:shd w:fill="EFEFEF" w:val="clear"/>
          </w:tcPr>
          <w:p>
            <w:r>
              <w:rPr>
                <w:b/>
                <w:bCs/>
              </w:rPr>
              <w:t xml:space="preserve">Language</w:t>
            </w:r>
          </w:p>
        </w:tc>
        <w:tc>
          <w:tcPr>
            <w:tcW w:type="dxa" w:w="7000"/>
          </w:tcPr>
          <w:p>
            <w:r>
              <w:t xml:space="preserve">English</w:t>
            </w:r>
          </w:p>
        </w:tc>
      </w:tr>
      <w:tr>
        <w:tc>
          <w:tcPr>
            <w:tcW w:type="dxa" w:w="2500"/>
            <w:shd w:fill="EFEFEF" w:val="clear"/>
          </w:tcPr>
          <w:p>
            <w:r>
              <w:rPr>
                <w:b/>
                <w:bCs/>
              </w:rPr>
              <w:t xml:space="preserve">Page count</w:t>
            </w:r>
          </w:p>
        </w:tc>
        <w:tc>
          <w:tcPr>
            <w:tcW w:type="dxa" w:w="7000"/>
          </w:tcPr>
          <w:p>
            <w:r>
              <w:t xml:space="preserve">1</w:t>
            </w:r>
          </w:p>
        </w:tc>
      </w:tr>
      <w:tr>
        <w:tc>
          <w:tcPr>
            <w:tcW w:type="dxa" w:w="2500"/>
            <w:shd w:fill="EFEFEF" w:val="clear"/>
          </w:tcPr>
          <w:p>
            <w:r>
              <w:rPr>
                <w:b/>
                <w:bCs/>
              </w:rPr>
              <w:t xml:space="preserve">Extraction status</w:t>
            </w:r>
          </w:p>
        </w:tc>
        <w:tc>
          <w:tcPr>
            <w:tcW w:type="dxa" w:w="7000"/>
          </w:tcPr>
          <w:p>
            <w:r>
              <w:t xml:space="preserve">CLEAN — extracts correctly.</w:t>
            </w:r>
          </w:p>
        </w:tc>
      </w:tr>
      <w:tr>
        <w:tc>
          <w:tcPr>
            <w:tcW w:type="dxa" w:w="2500"/>
            <w:shd w:fill="EFEFEF" w:val="clear"/>
          </w:tcPr>
          <w:p>
            <w:r>
              <w:rPr>
                <w:b/>
                <w:bCs/>
              </w:rPr>
              <w:t xml:space="preserve">Content summary</w:t>
            </w:r>
          </w:p>
        </w:tc>
        <w:tc>
          <w:tcPr>
            <w:tcW w:type="dxa" w:w="7000"/>
          </w:tcPr>
          <w:p>
            <w:r>
              <w:t xml:space="preserve">Mathematical/game-theory research abstract — quiz-show optimal-stopping problem, references prior literature (Kadane 1969).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Expected Improvements</w:t>
      </w:r>
    </w:p>
    <w:p>
      <w:pPr>
        <w:pStyle w:val="ListParagraph"/>
        <w:numPr>
          <w:ilvl w:val="0"/>
          <w:numId w:val="1"/>
        </w:numPr>
      </w:pPr>
      <w:r>
        <w:t xml:space="preserve">Simplify dense academic sentence structure</w:t>
      </w:r>
    </w:p>
    <w:p>
      <w:pPr>
        <w:pStyle w:val="ListParagraph"/>
        <w:numPr>
          <w:ilvl w:val="0"/>
          <w:numId w:val="1"/>
        </w:numPr>
      </w:pPr>
      <w:r>
        <w:t xml:space="preserve">Explain field-specific terms (index-based solution, equilibrium strategies, closed-form solutions) briefly</w:t>
      </w:r>
    </w:p>
    <w:p>
      <w:pPr>
        <w:pStyle w:val="ListParagraph"/>
        <w:numPr>
          <w:ilvl w:val="0"/>
          <w:numId w:val="1"/>
        </w:numPr>
      </w:pPr>
      <w:r>
        <w:t xml:space="preserve">Preserve the citation reference (Kadane, 1969) exactly</w:t>
      </w:r>
    </w:p>
    <w:p>
      <w:pPr>
        <w:pStyle w:val="Heading2"/>
        <w:spacing w:before="200"/>
      </w:pPr>
      <w:r>
        <w:t xml:space="preserve">Must NOT Change (fact-preservation check)</w:t>
      </w:r>
    </w:p>
    <w:p>
      <w:r>
        <w:t xml:space="preserve">The citation, mathematical/game-theory terminology, the described problem structure.</w:t>
      </w:r>
    </w:p>
    <w:p>
      <w:pPr>
        <w:pStyle w:val="Heading2"/>
        <w:spacing w:before="200"/>
      </w:pPr>
      <w:r>
        <w:t xml:space="preserve">Testing Note</w:t>
      </w:r>
    </w:p>
    <w:p>
      <w:r>
        <w:t xml:space="preserve">Good contrast pair with Abstract_en.pdf — one is medical jargon, one is math/theory jargon, together they test whether the non-native prompt generalizes across technical domains.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2026-07-16T07:28:43.192Z</dcterms:created>
  <dcterms:modified xsi:type="dcterms:W3CDTF">2026-07-16T07:28:43.192Z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