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Generalized Expected-Output Templates by Mode</w:t>
      </w:r>
    </w:p>
    <w:p>
      <w:pPr>
        <w:spacing w:after="300"/>
      </w:pPr>
      <w:r>
        <w:t xml:space="preserve">Applies across both Bangla and English documents within each mode — use this as the baseline for Person 1's mode-specific system prompts, and as the scoring checklist when testing individual documents.</w:t>
      </w:r>
    </w:p>
    <w:p>
      <w:pPr>
        <w:pStyle w:val="Heading2"/>
        <w:spacing w:before="300"/>
      </w:pPr>
      <w:r>
        <w:t xml:space="preserve">ADHD / Focus Mode</w:t>
      </w:r>
    </w:p>
    <w:p>
      <w:pPr>
        <w:spacing w:before="150"/>
      </w:pPr>
      <w:r>
        <w:rPr>
          <w:b/>
          <w:bCs/>
        </w:rP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Break content into small labeled chunks — no unbroken paragraph over ~3-4 sentences</w:t>
      </w:r>
    </w:p>
    <w:p>
      <w:pPr>
        <w:pStyle w:val="ListParagraph"/>
        <w:numPr>
          <w:ilvl w:val="0"/>
          <w:numId w:val="1"/>
        </w:numPr>
      </w:pPr>
      <w:r>
        <w:t xml:space="preserve">Bold key terms/concepts on first mention</w:t>
      </w:r>
    </w:p>
    <w:p>
      <w:pPr>
        <w:pStyle w:val="ListParagraph"/>
        <w:numPr>
          <w:ilvl w:val="0"/>
          <w:numId w:val="1"/>
        </w:numPr>
      </w:pPr>
      <w:r>
        <w:t xml:space="preserve">Remove filler, throat-clearing, and repetitive phrasing</w:t>
      </w:r>
    </w:p>
    <w:p>
      <w:pPr>
        <w:pStyle w:val="ListParagraph"/>
        <w:numPr>
          <w:ilvl w:val="0"/>
          <w:numId w:val="1"/>
        </w:numPr>
      </w:pPr>
      <w:r>
        <w:t xml:space="preserve">Add clear visual/logical breakpoints between sub-topics</w:t>
      </w:r>
    </w:p>
    <w:p>
      <w:pPr>
        <w:pStyle w:val="ListParagraph"/>
        <w:numPr>
          <w:ilvl w:val="0"/>
          <w:numId w:val="1"/>
        </w:numPr>
      </w:pPr>
      <w:r>
        <w:t xml:space="preserve">Preserve any existing structure (headers, learning objectives, numbered lists) rather than flattening it</w:t>
      </w:r>
    </w:p>
    <w:p>
      <w:pPr>
        <w:spacing w:before="150"/>
      </w:pPr>
      <w:r>
        <w:rPr>
          <w:b/>
          <w:bCs/>
        </w:rPr>
        <w:t xml:space="preserve">Must NOT Change</w:t>
      </w:r>
    </w:p>
    <w:p>
      <w:r>
        <w:t xml:space="preserve">Core claims, technical/clinical terms, any qualifiers that change meaning ("in most cases," "typically").</w:t>
      </w:r>
    </w:p>
    <w:p>
      <w:pPr>
        <w:pStyle w:val="Heading2"/>
        <w:spacing w:before="300"/>
      </w:pPr>
      <w:r>
        <w:t xml:space="preserve">Dyslexia Mode</w:t>
      </w:r>
    </w:p>
    <w:p>
      <w:pPr>
        <w:spacing w:before="150"/>
      </w:pPr>
      <w:r>
        <w:rPr>
          <w:b/>
          <w:bCs/>
        </w:rP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Shorter sentences — one idea per line</w:t>
      </w:r>
    </w:p>
    <w:p>
      <w:pPr>
        <w:pStyle w:val="ListParagraph"/>
        <w:numPr>
          <w:ilvl w:val="0"/>
          <w:numId w:val="1"/>
        </w:numPr>
      </w:pPr>
      <w:r>
        <w:t xml:space="preserve">Common words over rare/formal synonyms, except for domain-specific terms that must stay</w:t>
      </w:r>
    </w:p>
    <w:p>
      <w:pPr>
        <w:pStyle w:val="ListParagraph"/>
        <w:numPr>
          <w:ilvl w:val="0"/>
          <w:numId w:val="1"/>
        </w:numPr>
      </w:pPr>
      <w:r>
        <w:t xml:space="preserve">Reduced clause-nesting (break up compound/comparative sentences)</w:t>
      </w:r>
    </w:p>
    <w:p>
      <w:pPr>
        <w:pStyle w:val="ListParagraph"/>
        <w:numPr>
          <w:ilvl w:val="0"/>
          <w:numId w:val="1"/>
        </w:numPr>
      </w:pPr>
      <w:r>
        <w:t xml:space="preserve">Preserve logical connectors when splitting sentences (don't lose "however," "therefore," "and yet" — losing these can flip meaning)</w:t>
      </w:r>
    </w:p>
    <w:p>
      <w:pPr>
        <w:spacing w:before="150"/>
      </w:pPr>
      <w:r>
        <w:rPr>
          <w:b/>
          <w:bCs/>
        </w:rPr>
        <w:t xml:space="preserve">Must NOT Change</w:t>
      </w:r>
    </w:p>
    <w:p>
      <w:r>
        <w:t xml:space="preserve">Proper nouns, dates, numbers, technical/scientific terminology, direct quotations (especially literary text — flag rather than simplify).</w:t>
      </w:r>
    </w:p>
    <w:p>
      <w:pPr>
        <w:pStyle w:val="Heading2"/>
        <w:spacing w:before="300"/>
      </w:pPr>
      <w:r>
        <w:t xml:space="preserve">Screen Reader Mode</w:t>
      </w:r>
    </w:p>
    <w:p>
      <w:pPr>
        <w:spacing w:before="150"/>
      </w:pPr>
      <w:r>
        <w:rPr>
          <w:b/>
          <w:bCs/>
        </w:rP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Rebuild logical reading order (top-to-bottom/left-to-right is often wrong for forms — needs the actual fill-in sequence)</w:t>
      </w:r>
    </w:p>
    <w:p>
      <w:pPr>
        <w:pStyle w:val="ListParagraph"/>
        <w:numPr>
          <w:ilvl w:val="0"/>
          <w:numId w:val="1"/>
        </w:numPr>
      </w:pPr>
      <w:r>
        <w:t xml:space="preserve">Add descriptive labels for blank fields, sections, and headings</w:t>
      </w:r>
    </w:p>
    <w:p>
      <w:pPr>
        <w:pStyle w:val="ListParagraph"/>
        <w:numPr>
          <w:ilvl w:val="0"/>
          <w:numId w:val="1"/>
        </w:numPr>
      </w:pPr>
      <w:r>
        <w:t xml:space="preserve">Build proper heading hierarchy (title → section → field/subsection)</w:t>
      </w:r>
    </w:p>
    <w:p>
      <w:pPr>
        <w:pStyle w:val="ListParagraph"/>
        <w:numPr>
          <w:ilvl w:val="0"/>
          <w:numId w:val="1"/>
        </w:numPr>
      </w:pPr>
      <w:r>
        <w:t xml:space="preserve">Distinguish instructions from fillable fields</w:t>
      </w:r>
    </w:p>
    <w:p>
      <w:pPr>
        <w:spacing w:before="150"/>
      </w:pPr>
      <w:r>
        <w:rPr>
          <w:b/>
          <w:bCs/>
        </w:rPr>
        <w:t xml:space="preserve">Must NOT Change</w:t>
      </w:r>
    </w:p>
    <w:p>
      <w:r>
        <w:t xml:space="preserve">Field labels, form numbers, reference/ID numbers, step or line numbers referenced elsewhere.</w:t>
      </w:r>
    </w:p>
    <w:p>
      <w:pPr>
        <w:pStyle w:val="Heading2"/>
        <w:spacing w:before="300"/>
      </w:pPr>
      <w:r>
        <w:t xml:space="preserve">Non-Native Speaker Mode</w:t>
      </w:r>
    </w:p>
    <w:p>
      <w:pPr>
        <w:spacing w:before="150"/>
      </w:pPr>
      <w:r>
        <w:rPr>
          <w:b/>
          <w:bCs/>
        </w:rP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Simplify idioms and complex/academic phrasing</w:t>
      </w:r>
    </w:p>
    <w:p>
      <w:pPr>
        <w:pStyle w:val="ListParagraph"/>
        <w:numPr>
          <w:ilvl w:val="0"/>
          <w:numId w:val="1"/>
        </w:numPr>
      </w:pPr>
      <w:r>
        <w:t xml:space="preserve">Explain technical or field-specific terms briefly on first mention, without removing the original term</w:t>
      </w:r>
    </w:p>
    <w:p>
      <w:pPr>
        <w:pStyle w:val="ListParagraph"/>
        <w:numPr>
          <w:ilvl w:val="0"/>
          <w:numId w:val="1"/>
        </w:numPr>
      </w:pPr>
      <w:r>
        <w:t xml:space="preserve">Preserve the logical structure of the argument (cause → mechanism → conclusion, etc.)</w:t>
      </w:r>
    </w:p>
    <w:p>
      <w:pPr>
        <w:spacing w:before="150"/>
      </w:pPr>
      <w:r>
        <w:rPr>
          <w:b/>
          <w:bCs/>
        </w:rPr>
        <w:t xml:space="preserve">Must NOT Change</w:t>
      </w:r>
    </w:p>
    <w:p>
      <w:r>
        <w:t xml:space="preserve">Technical terminology, citations, numeric values, names of methods/drugs/hormones/etc.</w:t>
      </w:r>
    </w:p>
    <w:p>
      <w:pPr>
        <w:pStyle w:val="Heading2"/>
        <w:spacing w:before="300"/>
      </w:pPr>
      <w:r>
        <w:t xml:space="preserve">Legal Mode</w:t>
      </w:r>
    </w:p>
    <w:p>
      <w:pPr>
        <w:spacing w:before="150"/>
      </w:pPr>
      <w:r>
        <w:rPr>
          <w:b/>
          <w:bCs/>
        </w:rP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Plain-language explanation of what each section/clause practically means, without losing legal force</w:t>
      </w:r>
    </w:p>
    <w:p>
      <w:pPr>
        <w:pStyle w:val="ListParagraph"/>
        <w:numPr>
          <w:ilvl w:val="0"/>
          <w:numId w:val="1"/>
        </w:numPr>
      </w:pPr>
      <w:r>
        <w:t xml:space="preserve">Preserve section numbers/letters exactly, so a reader can map back to the original</w:t>
      </w:r>
    </w:p>
    <w:p>
      <w:pPr>
        <w:pStyle w:val="ListParagraph"/>
        <w:numPr>
          <w:ilvl w:val="0"/>
          <w:numId w:val="1"/>
        </w:numPr>
      </w:pPr>
      <w:r>
        <w:t xml:space="preserve">Flag genuinely ambiguous language rather than confidently resolving it</w:t>
      </w:r>
    </w:p>
    <w:p>
      <w:pPr>
        <w:spacing w:before="150"/>
      </w:pPr>
      <w:r>
        <w:rPr>
          <w:b/>
          <w:bCs/>
        </w:rPr>
        <w:t xml:space="preserve">Must NOT Change</w:t>
      </w:r>
    </w:p>
    <w:p>
      <w:r>
        <w:t xml:space="preserve">Section numbers, defined terms, dates, entity names, liability/indemnification language.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2026-07-16T07:55:45.166Z</dcterms:created>
  <dcterms:modified xsi:type="dcterms:W3CDTF">2026-07-16T07:55:45.183Z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