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QuantumWalk — implementation progress report</w:t>
      </w:r>
    </w:p>
    <w:p>
      <w:pPr>
        <w:pStyle w:val="Normal"/>
      </w:pPr>
      <w:r>
        <w:rPr>
          <w:b/>
        </w:rPr>
        <w:t xml:space="preserve">Report date:</w:t>
      </w:r>
      <w:r>
        <w:t xml:space="preserve"> 13 October 2026</w:t>
      </w:r>
    </w:p>
    <w:p>
      <w:pPr>
        <w:pStyle w:val="Normal"/>
      </w:pPr>
      <w:r>
        <w:rPr>
          <w:b/>
        </w:rPr>
        <w:t xml:space="preserve">Project:</w:t>
      </w:r>
      <w:r>
        <w:t xml:space="preserve"> QuantumWalk — “See inside a quantum algorithm”</w:t>
      </w:r>
    </w:p>
    <w:p>
      <w:pPr>
        <w:pStyle w:val="Normal"/>
      </w:pPr>
      <w:r>
        <w:rPr>
          <w:b/>
        </w:rPr>
        <w:t xml:space="preserve">Status:</w:t>
      </w:r>
      <w:r>
        <w:t xml:space="preserve"> core local platform implemented; production release preparation in progress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I completed the platform schema design and built the core QuantumWalk application. The implementation includes an interactive introduction, authenticated quantum circuit workspace, simulator visualizations, learning content, challenges and optional AI assistance. I also improved section navigation and prepared operational checks and release procedures.</w:t>
      </w:r>
    </w:p>
    <w:p>
      <w:pPr>
        <w:pStyle w:val="Heading1"/>
      </w:pPr>
      <w:r>
        <w:t xml:space="preserve">Work completed</w:t>
      </w:r>
    </w:p>
    <w:p>
      <w:pPr>
        <w:pStyle w:val="ListParagraph"/>
      </w:pPr>
      <w:r>
        <w:t xml:space="preserve">• </w:t>
      </w:r>
      <w:r>
        <w:rPr>
          <w:b/>
        </w:rPr>
        <w:t xml:space="preserve">Product and schema design:</w:t>
      </w:r>
      <w:r>
        <w:t xml:space="preserve"> completed the schema design and established the platform's product, learning and privacy requirements. Reviewed the supplied database design against the implemented models and recorded remaining differences for migration planning.</w:t>
      </w:r>
    </w:p>
    <w:p>
      <w:pPr>
        <w:pStyle w:val="ListParagraph"/>
      </w:pPr>
      <w:r>
        <w:t xml:space="preserve">• </w:t>
      </w:r>
      <w:r>
        <w:rPr>
          <w:b/>
        </w:rPr>
        <w:t xml:space="preserve">Frontend experience:</w:t>
      </w:r>
      <w:r>
        <w:t xml:space="preserve"> implemented a dark navy interface with violet/cyan accents, responsive layouts, interactive concept visuals, motion controls and a public landing page. Created experience-based onboarding with short articles, questions, feedback and a login handoff.</w:t>
      </w:r>
    </w:p>
    <w:p>
      <w:pPr>
        <w:pStyle w:val="ListParagraph"/>
      </w:pPr>
      <w:r>
        <w:t xml:space="preserve">• </w:t>
      </w:r>
      <w:r>
        <w:rPr>
          <w:b/>
        </w:rPr>
        <w:t xml:space="preserve">Quantum workspace:</w:t>
      </w:r>
      <w:r>
        <w:t xml:space="preserve"> implemented circuit editing, gate selection, undo/redo, qubit controls, bounded simulation, step playback, Bloch visualization, state amplitudes, exact probabilities and sampled measurement counts. Results are marked stale after circuit edits.</w:t>
      </w:r>
    </w:p>
    <w:p>
      <w:pPr>
        <w:pStyle w:val="ListParagraph"/>
      </w:pPr>
      <w:r>
        <w:t xml:space="preserve">• </w:t>
      </w:r>
      <w:r>
        <w:rPr>
          <w:b/>
        </w:rPr>
        <w:t xml:space="preserve">Algorithms, learning and challenges:</w:t>
      </w:r>
      <w:r>
        <w:t xml:space="preserve"> implemented curated circuit examples, lessons, quizzes, saved progress, mastery rewards and simulator-graded challenges. Added dedicated detail pages, embedded circuit experiments and mobile navigation so users can explore activities without every action redirecting to the workspace.</w:t>
      </w:r>
    </w:p>
    <w:p>
      <w:pPr>
        <w:pStyle w:val="ListParagraph"/>
      </w:pPr>
      <w:r>
        <w:t xml:space="preserve">• </w:t>
      </w:r>
      <w:r>
        <w:rPr>
          <w:b/>
        </w:rPr>
        <w:t xml:space="preserve">Authentication and private data:</w:t>
      </w:r>
      <w:r>
        <w:t xml:space="preserve"> integrated Google OIDC with state/nonce and PKCE, revocable sessions, protected routes, CSRF checks and owner-scoped circuit access. Implemented private circuit storage, profile controls, data export and account deletion.</w:t>
      </w:r>
    </w:p>
    <w:p>
      <w:pPr>
        <w:pStyle w:val="ListParagraph"/>
      </w:pPr>
      <w:r>
        <w:t xml:space="preserve">• </w:t>
      </w:r>
      <w:r>
        <w:rPr>
          <w:b/>
        </w:rPr>
        <w:t xml:space="preserve">Database integration:</w:t>
      </w:r>
      <w:r>
        <w:t xml:space="preserve"> connected the configured PostgreSQL database and applied the initial migration during implementation. Current read-only checks confirm connectivity and agreement between the ORM models and Alembic migrations.</w:t>
      </w:r>
    </w:p>
    <w:p>
      <w:pPr>
        <w:pStyle w:val="ListParagraph"/>
      </w:pPr>
      <w:r>
        <w:t xml:space="preserve">• </w:t>
      </w:r>
      <w:r>
        <w:rPr>
          <w:b/>
        </w:rPr>
        <w:t xml:space="preserve">AI assistance:</w:t>
      </w:r>
      <w:r>
        <w:t xml:space="preserve"> integrated the configured LLM provider with explicit consent, provider deadlines, request limits and local fallback. Added a dedicated concept Coach page and contextual circuit assistance. Provider credentials remain on the server.</w:t>
      </w:r>
    </w:p>
    <w:p>
      <w:pPr>
        <w:pStyle w:val="ListParagraph"/>
      </w:pPr>
      <w:r>
        <w:t xml:space="preserve">• </w:t>
      </w:r>
      <w:r>
        <w:rPr>
          <w:b/>
        </w:rPr>
        <w:t xml:space="preserve">Release operations:</w:t>
      </w:r>
      <w:r>
        <w:t xml:space="preserve"> added database readiness checks, safe structured request telemetry and a health-monitoring script. Prepared an application-schema backup script, checksum/archive checks, deployment configuration instructions and an isolated restore rehearsal procedure.</w:t>
      </w:r>
    </w:p>
    <w:p>
      <w:pPr>
        <w:pStyle w:val="Heading1"/>
      </w:pPr>
      <w:r>
        <w:t xml:space="preserve">Verification</w:t>
      </w:r>
    </w:p>
    <w:p>
      <w:pPr>
        <w:pStyle w:val="Normal"/>
      </w:pPr>
      <w:r>
        <w:t xml:space="preserve">On 13 October 2026, the backend suite passed </w:t>
      </w:r>
      <w:r>
        <w:rPr>
          <w:b/>
        </w:rPr>
        <w:t xml:space="preserve">38 tests</w:t>
      </w:r>
      <w:r>
        <w:t xml:space="preserve">, the frontend production build passed, Python dependency consistency passed, and the production frontend dependency audit reported </w:t>
      </w:r>
      <w:r>
        <w:rPr>
          <w:b/>
        </w:rPr>
        <w:t xml:space="preserve">zero vulnerabilities</w:t>
      </w:r>
      <w:r>
        <w:t xml:space="preserve">. PostgreSQL connectivity and Alembic consistency checks also passed. The running local API passed liveness/readiness probes and rejected unauthenticated access to private algorithms with HTTP 401.</w:t>
      </w:r>
    </w:p>
    <w:p>
      <w:pPr>
        <w:pStyle w:val="Normal"/>
      </w:pPr>
      <w:r>
        <w:t xml:space="preserve">Current browser checks covered detail-page navigation, keyboard menus, mobile layouts, lesson grading and completion reload, the Coach's local response, unknown activities and protected login destinations. Authenticated browser checks used mocked API responses. A fresh public-topic request returned a live external AI response. Google authorization initiation returned a redirect with state and PKCE S256. A complete independently verified Google-to-private-workspace flow remains a release check.</w:t>
      </w:r>
    </w:p>
    <w:p>
      <w:pPr>
        <w:pStyle w:val="Heading1"/>
      </w:pPr>
      <w:r>
        <w:t xml:space="preserve">Remaining work before production sign-off</w:t>
      </w:r>
    </w:p>
    <w:p>
      <w:pPr>
        <w:pStyle w:val="ListParagraph"/>
      </w:pPr>
      <w:r>
        <w:t xml:space="preserve">• Select the production host, domain, HTTPS routing and operational alert destination, then deploy and run live end-to-end acceptance checks.</w:t>
      </w:r>
    </w:p>
    <w:p>
      <w:pPr>
        <w:pStyle w:val="ListParagraph"/>
      </w:pPr>
      <w:r>
        <w:t xml:space="preserve">• Confirm whether the supplied specification is the authoritative completed schema. Resolve documented field/table differences through an approved migration plan; model/migration consistency does not establish full design compliance.</w:t>
      </w:r>
    </w:p>
    <w:p>
      <w:pPr>
        <w:pStyle w:val="ListParagraph"/>
      </w:pPr>
      <w:r>
        <w:t xml:space="preserve">• Install PostgreSQL client tools, configure scheduled encrypted backups and provider recovery settings, and complete a restore rehearsal in an isolated database. No backup archive or restore proof has been produced locally yet.</w:t>
      </w:r>
    </w:p>
    <w:p>
      <w:pPr>
        <w:pStyle w:val="ListParagraph"/>
      </w:pPr>
      <w:r>
        <w:t xml:space="preserve">• Complete production quota/runtime isolation, monitoring and alert configuration, accessibility/user acceptance review, and privacy/terms approval. Real quantum hardware remains optional and is not connected.</w:t>
      </w:r>
    </w:p>
    <w:p>
      <w:pPr>
        <w:pStyle w:val="Heading1"/>
      </w:pPr>
      <w:r>
        <w:t xml:space="preserve">Overall outcome</w:t>
      </w:r>
    </w:p>
    <w:p>
      <w:pPr>
        <w:pStyle w:val="Normal"/>
      </w:pPr>
      <w:r>
        <w:t xml:space="preserve">The core educational workflow is implemented and build/test checks are passing. The project is ready for deployment planning and acceptance review; it is not yet signed off as a production release.</w:t>
      </w:r>
    </w:p>
    <w:sectPr>
      <w:footerReference w:type="default" r:id="rId2"/>
      <w:pgSz w:w="11906" w:h="16838"/>
      <w:pgMar w:top="1000" w:right="1050" w:bottom="1000" w:left="1050" w:header="500" w:footer="5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64748B"/>
      </w:rPr>
      <w:t>QuantumWalk | Page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63345"/>
      </w:rPr>
    </w:rPrDefault>
    <w:pPrDefault>
      <w:pPr>
        <w:spacing w:after="120" w:line="265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20"/>
    </w:pPr>
    <w:rPr>
      <w:b/>
      <w:sz w:val="36"/>
      <w:color w:val="172B4D"/>
    </w:rPr>
  </w:style>
  <w:style w:type="paragraph" w:styleId="Heading1">
    <w:name w:val="heading 1"/>
    <w:basedOn w:val="Normal"/>
    <w:pPr>
      <w:keepNext/>
      <w:spacing w:before="220" w:after="120"/>
      <w:outlineLvl w:val="0"/>
    </w:pPr>
    <w:rPr>
      <w:b/>
      <w:sz w:val="26"/>
      <w:color w:val="344F78"/>
    </w:rPr>
  </w:style>
  <w:style w:type="paragraph" w:styleId="ListParagraph">
    <w:name w:val="List Paragraph"/>
    <w:basedOn w:val="Normal"/>
    <w:pPr>
      <w:ind w:left="240" w:hanging="24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