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sz w:val="14"/>
          <w:szCs w:val="14"/>
        </w:rPr>
        <w:t xml:space="preserve"/>
      </w:r>
    </w:p>
    <w:p>
      <w:pPr>
        <w:spacing w:before="0" w:after="0"/>
      </w:pPr>
      <w:r>
        <w:rPr>
          <w:sz w:val="14"/>
          <w:szCs w:val="14"/>
        </w:rPr>
        <w:t xml:space="preserve"/>
      </w:r>
    </w:p>
    <w:p>
      <w:pPr>
        <w:spacing w:before="0" w:after="0"/>
      </w:pPr>
      <w:r>
        <w:rPr>
          <w:sz w:val="14"/>
          <w:szCs w:val="14"/>
        </w:rPr>
        <w:t xml:space="preserve"/>
      </w:r>
    </w:p>
    <w:p>
      <w:pPr>
        <w:spacing w:before="0" w:after="0"/>
      </w:pPr>
      <w:r>
        <w:rPr>
          <w:sz w:val="14"/>
          <w:szCs w:val="14"/>
        </w:rPr>
        <w:t xml:space="preserve"/>
      </w:r>
    </w:p>
    <w:p>
      <w:pPr>
        <w:spacing w:before="0" w:after="80"/>
        <w:jc w:val="center"/>
      </w:pPr>
      <w:r>
        <w:rPr>
          <w:rFonts w:ascii="Calibri" w:cs="Calibri" w:eastAsia="Calibri" w:hAnsi="Calibri"/>
          <w:b/>
          <w:bCs/>
          <w:color w:val="1F3864"/>
          <w:sz w:val="72"/>
          <w:szCs w:val="72"/>
        </w:rPr>
        <w:t xml:space="preserve">SquashVision AI</w:t>
      </w:r>
    </w:p>
    <w:p>
      <w:pPr>
        <w:spacing w:before="0" w:after="200"/>
        <w:jc w:val="center"/>
      </w:pPr>
      <w:r>
        <w:rPr>
          <w:rFonts w:ascii="Calibri" w:cs="Calibri" w:eastAsia="Calibri" w:hAnsi="Calibri"/>
          <w:color w:val="2E75B6"/>
          <w:sz w:val="28"/>
          <w:szCs w:val="28"/>
        </w:rPr>
        <w:t xml:space="preserve">Market Research, Competitive Analysis &amp; Product Strategy</w:t>
      </w:r>
    </w:p>
    <w:p>
      <w:pPr>
        <w:pBdr>
          <w:bottom w:val="single" w:color="2E75B6" w:sz="6" w:space="1"/>
        </w:pBdr>
        <w:spacing w:before="0" w:after="280"/>
        <w:jc w:val="center"/>
      </w:pPr>
      <w:r>
        <w:t xml:space="preserve"/>
      </w:r>
    </w:p>
    <w:p>
      <w:pPr>
        <w:spacing w:before="0" w:after="60"/>
        <w:jc w:val="center"/>
      </w:pPr>
      <w:r>
        <w:rPr>
          <w:rFonts w:ascii="Calibri" w:cs="Calibri" w:eastAsia="Calibri" w:hAnsi="Calibri"/>
          <w:b/>
          <w:bCs/>
          <w:color w:val="1A1A2E"/>
          <w:sz w:val="26"/>
          <w:szCs w:val="26"/>
        </w:rPr>
        <w:t xml:space="preserve">Dipendra Pratap Singh</w:t>
      </w:r>
    </w:p>
    <w:p>
      <w:pPr>
        <w:spacing w:before="0" w:after="60"/>
        <w:jc w:val="center"/>
      </w:pPr>
      <w:r>
        <w:rPr>
          <w:rFonts w:ascii="Calibri" w:cs="Calibri" w:eastAsia="Calibri" w:hAnsi="Calibri"/>
          <w:color w:val="666666"/>
          <w:sz w:val="22"/>
          <w:szCs w:val="22"/>
        </w:rPr>
        <w:t xml:space="preserve">IIT Kanpur  |  Mechanical Engineering</w:t>
      </w:r>
    </w:p>
    <w:p>
      <w:pPr>
        <w:spacing w:before="0" w:after="0"/>
        <w:jc w:val="center"/>
      </w:pPr>
      <w:r>
        <w:rPr>
          <w:rFonts w:ascii="Calibri" w:cs="Calibri" w:eastAsia="Calibri" w:hAnsi="Calibri"/>
          <w:color w:val="666666"/>
          <w:sz w:val="22"/>
          <w:szCs w:val="22"/>
        </w:rPr>
        <w:t xml:space="preserve">March 2026</w:t>
      </w:r>
    </w:p>
    <w:p>
      <w:pPr>
        <w:spacing w:before="0" w:after="0"/>
      </w:pPr>
      <w:r>
        <w:rPr>
          <w:sz w:val="14"/>
          <w:szCs w:val="14"/>
        </w:rPr>
        <w:t xml:space="preserve"/>
      </w:r>
    </w:p>
    <w:p>
      <w:pPr>
        <w:spacing w:before="0" w:after="0"/>
      </w:pPr>
      <w:r>
        <w:rPr>
          <w:sz w:val="14"/>
          <w:szCs w:val="14"/>
        </w:rPr>
        <w:t xml:space="preserve"/>
      </w:r>
    </w:p>
    <w:p>
      <w:pPr>
        <w:spacing w:before="0" w:after="0"/>
      </w:pPr>
      <w:r>
        <w:rPr>
          <w:sz w:val="14"/>
          <w:szCs w:val="14"/>
        </w:rPr>
        <w:t xml:space="preserve"/>
      </w:r>
    </w:p>
    <w:p>
      <w:pPr>
        <w:spacing w:before="0" w:after="0"/>
      </w:pPr>
      <w:r>
        <w:rPr>
          <w:sz w:val="14"/>
          <w:szCs w:val="14"/>
        </w:rPr>
        <w:t xml:space="preserve"/>
      </w:r>
    </w:p>
    <w:p>
      <w:pPr>
        <w:spacing w:before="0" w:after="0"/>
      </w:pPr>
      <w:r>
        <w:rPr>
          <w:sz w:val="14"/>
          <w:szCs w:val="14"/>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600"/>
      </w:tblGrid>
      <w:tr>
        <w:tc>
          <w:tcPr>
            <w:tcW w:type="dxa" w:w="3240"/>
            <w:tcBorders>
              <w:top w:val="single" w:color="2E75B6" w:sz="1"/>
              <w:left w:val="single" w:color="2E75B6" w:sz="1"/>
              <w:bottom w:val="single" w:color="2E75B6" w:sz="1"/>
              <w:right w:val="single" w:color="2E75B6" w:sz="1"/>
            </w:tcBorders>
            <w:shd w:fill="E8F4FD" w:val="clear"/>
            <w:tcMar>
              <w:top w:type="dxa" w:w="200"/>
              <w:left w:type="dxa" w:w="200"/>
              <w:bottom w:type="dxa" w:w="200"/>
              <w:right w:type="dxa" w:w="200"/>
            </w:tcMar>
          </w:tcPr>
          <w:p>
            <w:pPr>
              <w:jc w:val="center"/>
            </w:pPr>
            <w:r>
              <w:rPr>
                <w:rFonts w:ascii="Calibri" w:cs="Calibri" w:eastAsia="Calibri" w:hAnsi="Calibri"/>
                <w:b/>
                <w:bCs/>
                <w:color w:val="1F3864"/>
                <w:sz w:val="30"/>
                <w:szCs w:val="30"/>
              </w:rPr>
              <w:t xml:space="preserve">01</w:t>
            </w:r>
          </w:p>
          <w:p>
            <w:pPr>
              <w:jc w:val="center"/>
            </w:pPr>
            <w:r>
              <w:rPr>
                <w:rFonts w:ascii="Calibri" w:cs="Calibri" w:eastAsia="Calibri" w:hAnsi="Calibri"/>
                <w:b/>
                <w:bCs/>
                <w:color w:val="1F3864"/>
                <w:sz w:val="21"/>
                <w:szCs w:val="21"/>
              </w:rPr>
              <w:t xml:space="preserve">Market Sizing</w:t>
            </w:r>
          </w:p>
          <w:p>
            <w:pPr>
              <w:jc w:val="center"/>
            </w:pPr>
            <w:r>
              <w:rPr>
                <w:rFonts w:ascii="Calibri" w:cs="Calibri" w:eastAsia="Calibri" w:hAnsi="Calibri"/>
                <w:color w:val="2E75B6"/>
                <w:sz w:val="18"/>
                <w:szCs w:val="18"/>
              </w:rPr>
              <w:t xml:space="preserve">TAM · SAM · SOM</w:t>
            </w:r>
          </w:p>
        </w:tc>
        <w:tc>
          <w:tcPr>
            <w:tcW w:type="dxa" w:w="3240"/>
            <w:tcBorders>
              <w:top w:val="single" w:color="2E75B6" w:sz="1"/>
              <w:left w:val="single" w:color="2E75B6" w:sz="1"/>
              <w:bottom w:val="single" w:color="2E75B6" w:sz="1"/>
              <w:right w:val="single" w:color="2E75B6" w:sz="1"/>
            </w:tcBorders>
            <w:shd w:fill="E8F4FD" w:val="clear"/>
            <w:tcMar>
              <w:top w:type="dxa" w:w="200"/>
              <w:left w:type="dxa" w:w="200"/>
              <w:bottom w:type="dxa" w:w="200"/>
              <w:right w:type="dxa" w:w="200"/>
            </w:tcMar>
          </w:tcPr>
          <w:p>
            <w:pPr>
              <w:jc w:val="center"/>
            </w:pPr>
            <w:r>
              <w:rPr>
                <w:rFonts w:ascii="Calibri" w:cs="Calibri" w:eastAsia="Calibri" w:hAnsi="Calibri"/>
                <w:b/>
                <w:bCs/>
                <w:color w:val="1F3864"/>
                <w:sz w:val="30"/>
                <w:szCs w:val="30"/>
              </w:rPr>
              <w:t xml:space="preserve">02</w:t>
            </w:r>
          </w:p>
          <w:p>
            <w:pPr>
              <w:jc w:val="center"/>
            </w:pPr>
            <w:r>
              <w:rPr>
                <w:rFonts w:ascii="Calibri" w:cs="Calibri" w:eastAsia="Calibri" w:hAnsi="Calibri"/>
                <w:b/>
                <w:bCs/>
                <w:color w:val="1F3864"/>
                <w:sz w:val="21"/>
                <w:szCs w:val="21"/>
              </w:rPr>
              <w:t xml:space="preserve">Competitor Analysis</w:t>
            </w:r>
          </w:p>
          <w:p>
            <w:pPr>
              <w:jc w:val="center"/>
            </w:pPr>
            <w:r>
              <w:rPr>
                <w:rFonts w:ascii="Calibri" w:cs="Calibri" w:eastAsia="Calibri" w:hAnsi="Calibri"/>
                <w:color w:val="2E75B6"/>
                <w:sz w:val="18"/>
                <w:szCs w:val="18"/>
              </w:rPr>
              <w:t xml:space="preserve">5 platforms · gaps · benchmarks</w:t>
            </w:r>
          </w:p>
        </w:tc>
        <w:tc>
          <w:tcPr>
            <w:tcW w:type="dxa" w:w="3600"/>
            <w:tcBorders>
              <w:top w:val="single" w:color="2E75B6" w:sz="1"/>
              <w:left w:val="single" w:color="2E75B6" w:sz="1"/>
              <w:bottom w:val="single" w:color="2E75B6" w:sz="1"/>
              <w:right w:val="single" w:color="2E75B6" w:sz="1"/>
            </w:tcBorders>
            <w:shd w:fill="E8F4FD" w:val="clear"/>
            <w:tcMar>
              <w:top w:type="dxa" w:w="200"/>
              <w:left w:type="dxa" w:w="200"/>
              <w:bottom w:type="dxa" w:w="200"/>
              <w:right w:type="dxa" w:w="200"/>
            </w:tcMar>
          </w:tcPr>
          <w:p>
            <w:pPr>
              <w:jc w:val="center"/>
            </w:pPr>
            <w:r>
              <w:rPr>
                <w:rFonts w:ascii="Calibri" w:cs="Calibri" w:eastAsia="Calibri" w:hAnsi="Calibri"/>
                <w:b/>
                <w:bCs/>
                <w:color w:val="1F3864"/>
                <w:sz w:val="30"/>
                <w:szCs w:val="30"/>
              </w:rPr>
              <w:t xml:space="preserve">03</w:t>
            </w:r>
          </w:p>
          <w:p>
            <w:pPr>
              <w:jc w:val="center"/>
            </w:pPr>
            <w:r>
              <w:rPr>
                <w:rFonts w:ascii="Calibri" w:cs="Calibri" w:eastAsia="Calibri" w:hAnsi="Calibri"/>
                <w:b/>
                <w:bCs/>
                <w:color w:val="1F3864"/>
                <w:sz w:val="21"/>
                <w:szCs w:val="21"/>
              </w:rPr>
              <w:t xml:space="preserve">Product &amp; GTM</w:t>
            </w:r>
          </w:p>
          <w:p>
            <w:pPr>
              <w:jc w:val="center"/>
            </w:pPr>
            <w:r>
              <w:rPr>
                <w:rFonts w:ascii="Calibri" w:cs="Calibri" w:eastAsia="Calibri" w:hAnsi="Calibri"/>
                <w:color w:val="2E75B6"/>
                <w:sz w:val="18"/>
                <w:szCs w:val="18"/>
              </w:rPr>
              <w:t xml:space="preserve">Vision · strategy · business model</w:t>
            </w:r>
          </w:p>
        </w:tc>
      </w:tr>
    </w:tbl>
    <w:p>
      <w:pPr>
        <w:spacing w:before="0" w:after="0"/>
      </w:pPr>
      <w:r>
        <w:rPr>
          <w:sz w:val="14"/>
          <w:szCs w:val="14"/>
        </w:rPr>
        <w:t xml:space="preserve"/>
      </w:r>
    </w:p>
    <w:p>
      <w:pPr>
        <w:spacing w:before="0" w:after="0"/>
      </w:pPr>
      <w:r>
        <w:rPr>
          <w:sz w:val="14"/>
          <w:szCs w:val="14"/>
        </w:rPr>
        <w:t xml:space="preserve"/>
      </w:r>
    </w:p>
    <w:p>
      <w:pPr>
        <w:spacing w:before="0" w:after="0"/>
      </w:pPr>
      <w:r>
        <w:rPr>
          <w:sz w:val="14"/>
          <w:szCs w:val="14"/>
        </w:rPr>
        <w:t xml:space="preserve"/>
      </w:r>
    </w:p>
    <w:p>
      <w:pPr>
        <w:spacing w:before="0" w:after="0"/>
      </w:pPr>
      <w:r>
        <w:rPr>
          <w:sz w:val="14"/>
          <w:szCs w:val="14"/>
        </w:rPr>
        <w:t xml:space="preserve"/>
      </w:r>
    </w:p>
    <w:p>
      <w:pPr>
        <w:spacing w:before="0" w:after="0"/>
      </w:pPr>
      <w:r>
        <w:rPr>
          <w:sz w:val="14"/>
          <w:szCs w:val="14"/>
        </w:rPr>
        <w:t xml:space="preserve"/>
      </w:r>
    </w:p>
    <w:p>
      <w:pPr>
        <w:spacing w:before="0" w:after="0"/>
      </w:pPr>
      <w:r>
        <w:rPr>
          <w:sz w:val="14"/>
          <w:szCs w:val="14"/>
        </w:rPr>
        <w:t xml:space="preserve"/>
      </w:r>
    </w:p>
    <w:p>
      <w:pPr>
        <w:pStyle w:val="Heading1"/>
        <w:pBdr>
          <w:bottom w:val="single" w:color="2E75B6" w:sz="10" w:space="8"/>
        </w:pBdr>
        <w:spacing w:before="400" w:after="120"/>
      </w:pPr>
      <w:r>
        <w:rPr>
          <w:rFonts w:ascii="Calibri" w:cs="Calibri" w:eastAsia="Calibri" w:hAnsi="Calibri"/>
          <w:b/>
          <w:bCs/>
          <w:color w:val="1F3864"/>
          <w:sz w:val="38"/>
          <w:szCs w:val="38"/>
        </w:rPr>
        <w:t xml:space="preserve">01  |  Market Sizing</w:t>
      </w:r>
    </w:p>
    <w:p>
      <w:pPr>
        <w:pStyle w:val="Heading2"/>
        <w:spacing w:before="280" w:after="100"/>
      </w:pPr>
      <w:r>
        <w:rPr>
          <w:rFonts w:ascii="Calibri" w:cs="Calibri" w:eastAsia="Calibri" w:hAnsi="Calibri"/>
          <w:b/>
          <w:bCs/>
          <w:color w:val="2E75B6"/>
          <w:sz w:val="27"/>
          <w:szCs w:val="27"/>
        </w:rPr>
        <w:t xml:space="preserve">1.1  Approach</w:t>
      </w:r>
    </w:p>
    <w:p>
      <w:pPr>
        <w:spacing w:before="60" w:after="80"/>
        <w:jc w:val="left"/>
      </w:pPr>
      <w:r>
        <w:rPr>
          <w:rFonts w:ascii="Calibri" w:cs="Calibri" w:eastAsia="Calibri" w:hAnsi="Calibri"/>
          <w:b w:val="false"/>
          <w:bCs w:val="false"/>
          <w:i w:val="false"/>
          <w:iCs w:val="false"/>
          <w:color w:val="2C2C2C"/>
          <w:sz w:val="20"/>
          <w:szCs w:val="20"/>
        </w:rPr>
        <w:t xml:space="preserve">The squash analytics market is too niche to be independently tracked by any research firm. The right approach is a two-lens analysis: a top-down funnel from the global AI in sports market narrowed to performance analytics and then to racquet sports; and a bottom-up calculation anchored to the actual number of addressable squash players multiplied by realistic willingness to pay. Both lenses are calibrated against a real financial benchmark — SwingVision, the closest comparable product in tennis, which disclosed FY2024 revenue of $2.74 million from 20,000 paying subscribers at $180 per year.</w:t>
      </w:r>
    </w:p>
    <w:p>
      <w:pPr>
        <w:spacing w:before="0" w:after="0"/>
      </w:pPr>
      <w:r>
        <w:rPr>
          <w:sz w:val="14"/>
          <w:szCs w:val="14"/>
        </w:rPr>
        <w:t xml:space="preserve"/>
      </w:r>
    </w:p>
    <w:p>
      <w:pPr>
        <w:pStyle w:val="Heading2"/>
        <w:spacing w:before="280" w:after="100"/>
      </w:pPr>
      <w:r>
        <w:rPr>
          <w:rFonts w:ascii="Calibri" w:cs="Calibri" w:eastAsia="Calibri" w:hAnsi="Calibri"/>
          <w:b/>
          <w:bCs/>
          <w:color w:val="2E75B6"/>
          <w:sz w:val="27"/>
          <w:szCs w:val="27"/>
        </w:rPr>
        <w:t xml:space="preserve">1.2  TAM — Total Addressable Market</w:t>
      </w:r>
    </w:p>
    <w:p>
      <w:pPr>
        <w:spacing w:before="200" w:after="60"/>
      </w:pPr>
      <w:r>
        <w:rPr>
          <w:rFonts w:ascii="Calibri" w:cs="Calibri" w:eastAsia="Calibri" w:hAnsi="Calibri"/>
          <w:b/>
          <w:bCs/>
          <w:color w:val="1A5276"/>
          <w:sz w:val="21"/>
          <w:szCs w:val="21"/>
        </w:rPr>
        <w:t xml:space="preserve">Global AI in Sports</w:t>
      </w:r>
    </w:p>
    <w:p>
      <w:pPr>
        <w:spacing w:before="60" w:after="80"/>
        <w:jc w:val="left"/>
      </w:pPr>
      <w:r>
        <w:rPr>
          <w:rFonts w:ascii="Calibri" w:cs="Calibri" w:eastAsia="Calibri" w:hAnsi="Calibri"/>
          <w:b w:val="false"/>
          <w:bCs w:val="false"/>
          <w:i w:val="false"/>
          <w:iCs w:val="false"/>
          <w:color w:val="2C2C2C"/>
          <w:sz w:val="20"/>
          <w:szCs w:val="20"/>
        </w:rPr>
        <w:t xml:space="preserve">Five independent research firms have sized the global AI in sports market. The consensus estimate places it at $8.9–10.8 billion in 2024–2025, growing at 21% CAGR to reach $60–75 billion by 2034. The variance across reports reflects differences in scope — some include hardware-integrated systems while others count software only. The most credible midpoint consensus is $8.9 billion.</w:t>
      </w:r>
    </w:p>
    <w:p>
      <w:pPr>
        <w:spacing w:before="0" w:after="0"/>
      </w:pPr>
      <w:r>
        <w:rPr>
          <w:sz w:val="14"/>
          <w:szCs w:val="14"/>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480"/>
        <w:gridCol w:w="2200"/>
      </w:tblGrid>
      <w:tr>
        <w:tc>
          <w:tcPr>
            <w:tcW w:type="dxa" w:w="3200"/>
            <w:tcBorders>
              <w:top w:val="single" w:color="1F3864" w:sz="1"/>
              <w:left w:val="single" w:color="1F3864" w:sz="1"/>
              <w:bottom w:val="single" w:color="1F3864" w:sz="1"/>
              <w:right w:val="single" w:color="1F3864" w:sz="1"/>
            </w:tcBorders>
            <w:shd w:fill="1F3864" w:val="clear"/>
            <w:tcMar>
              <w:top w:type="dxa" w:w="110"/>
              <w:left w:type="dxa" w:w="160"/>
              <w:bottom w:type="dxa" w:w="110"/>
              <w:right w:type="dxa" w:w="160"/>
            </w:tcMar>
          </w:tcPr>
          <w:p>
            <w:pPr>
              <w:jc w:val="left"/>
            </w:pPr>
            <w:r>
              <w:rPr>
                <w:rFonts w:ascii="Calibri" w:cs="Calibri" w:eastAsia="Calibri" w:hAnsi="Calibri"/>
                <w:b/>
                <w:bCs/>
                <w:i w:val="false"/>
                <w:iCs w:val="false"/>
                <w:color w:val="FFFFFF"/>
                <w:sz w:val="19"/>
                <w:szCs w:val="19"/>
              </w:rPr>
              <w:t xml:space="preserve">Research Firm</w:t>
            </w:r>
          </w:p>
        </w:tc>
        <w:tc>
          <w:tcPr>
            <w:tcW w:type="dxa" w:w="2200"/>
            <w:tcBorders>
              <w:top w:val="single" w:color="1F3864" w:sz="1"/>
              <w:left w:val="single" w:color="1F3864" w:sz="1"/>
              <w:bottom w:val="single" w:color="1F3864" w:sz="1"/>
              <w:right w:val="single" w:color="1F3864" w:sz="1"/>
            </w:tcBorders>
            <w:shd w:fill="1F3864" w:val="clear"/>
            <w:tcMar>
              <w:top w:type="dxa" w:w="110"/>
              <w:left w:type="dxa" w:w="160"/>
              <w:bottom w:type="dxa" w:w="110"/>
              <w:right w:type="dxa" w:w="160"/>
            </w:tcMar>
          </w:tcPr>
          <w:p>
            <w:pPr>
              <w:jc w:val="left"/>
            </w:pPr>
            <w:r>
              <w:rPr>
                <w:rFonts w:ascii="Calibri" w:cs="Calibri" w:eastAsia="Calibri" w:hAnsi="Calibri"/>
                <w:b/>
                <w:bCs/>
                <w:i w:val="false"/>
                <w:iCs w:val="false"/>
                <w:color w:val="FFFFFF"/>
                <w:sz w:val="19"/>
                <w:szCs w:val="19"/>
              </w:rPr>
              <w:t xml:space="preserve">2024–25 Value</w:t>
            </w:r>
          </w:p>
        </w:tc>
        <w:tc>
          <w:tcPr>
            <w:tcW w:type="dxa" w:w="2480"/>
            <w:tcBorders>
              <w:top w:val="single" w:color="1F3864" w:sz="1"/>
              <w:left w:val="single" w:color="1F3864" w:sz="1"/>
              <w:bottom w:val="single" w:color="1F3864" w:sz="1"/>
              <w:right w:val="single" w:color="1F3864" w:sz="1"/>
            </w:tcBorders>
            <w:shd w:fill="1F3864" w:val="clear"/>
            <w:tcMar>
              <w:top w:type="dxa" w:w="110"/>
              <w:left w:type="dxa" w:w="160"/>
              <w:bottom w:type="dxa" w:w="110"/>
              <w:right w:type="dxa" w:w="160"/>
            </w:tcMar>
          </w:tcPr>
          <w:p>
            <w:pPr>
              <w:jc w:val="left"/>
            </w:pPr>
            <w:r>
              <w:rPr>
                <w:rFonts w:ascii="Calibri" w:cs="Calibri" w:eastAsia="Calibri" w:hAnsi="Calibri"/>
                <w:b/>
                <w:bCs/>
                <w:i w:val="false"/>
                <w:iCs w:val="false"/>
                <w:color w:val="FFFFFF"/>
                <w:sz w:val="19"/>
                <w:szCs w:val="19"/>
              </w:rPr>
              <w:t xml:space="preserve">2034 Projection</w:t>
            </w:r>
          </w:p>
        </w:tc>
        <w:tc>
          <w:tcPr>
            <w:tcW w:type="dxa" w:w="2200"/>
            <w:tcBorders>
              <w:top w:val="single" w:color="1F3864" w:sz="1"/>
              <w:left w:val="single" w:color="1F3864" w:sz="1"/>
              <w:bottom w:val="single" w:color="1F3864" w:sz="1"/>
              <w:right w:val="single" w:color="1F3864" w:sz="1"/>
            </w:tcBorders>
            <w:shd w:fill="1F3864" w:val="clear"/>
            <w:tcMar>
              <w:top w:type="dxa" w:w="110"/>
              <w:left w:type="dxa" w:w="160"/>
              <w:bottom w:type="dxa" w:w="110"/>
              <w:right w:type="dxa" w:w="160"/>
            </w:tcMar>
          </w:tcPr>
          <w:p>
            <w:pPr>
              <w:jc w:val="left"/>
            </w:pPr>
            <w:r>
              <w:rPr>
                <w:rFonts w:ascii="Calibri" w:cs="Calibri" w:eastAsia="Calibri" w:hAnsi="Calibri"/>
                <w:b/>
                <w:bCs/>
                <w:i w:val="false"/>
                <w:iCs w:val="false"/>
                <w:color w:val="FFFFFF"/>
                <w:sz w:val="19"/>
                <w:szCs w:val="19"/>
              </w:rPr>
              <w:t xml:space="preserve">CAGR</w:t>
            </w:r>
          </w:p>
        </w:tc>
      </w:tr>
      <w:tr>
        <w:tc>
          <w:tcPr>
            <w:tcW w:type="dxa" w:w="32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Precedence Research</w:t>
            </w:r>
          </w:p>
        </w:tc>
        <w:tc>
          <w:tcPr>
            <w:tcW w:type="dxa" w:w="22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$8.93B</w:t>
            </w:r>
          </w:p>
        </w:tc>
        <w:tc>
          <w:tcPr>
            <w:tcW w:type="dxa" w:w="248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$60.78B</w:t>
            </w:r>
          </w:p>
        </w:tc>
        <w:tc>
          <w:tcPr>
            <w:tcW w:type="dxa" w:w="22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21.1%</w:t>
            </w:r>
          </w:p>
        </w:tc>
      </w:tr>
      <w:tr>
        <w:tc>
          <w:tcPr>
            <w:tcW w:type="dxa" w:w="32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Grand View Research</w:t>
            </w:r>
          </w:p>
        </w:tc>
        <w:tc>
          <w:tcPr>
            <w:tcW w:type="dxa" w:w="22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$8.92B</w:t>
            </w:r>
          </w:p>
        </w:tc>
        <w:tc>
          <w:tcPr>
            <w:tcW w:type="dxa" w:w="248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$27.63B (2030)</w:t>
            </w:r>
          </w:p>
        </w:tc>
        <w:tc>
          <w:tcPr>
            <w:tcW w:type="dxa" w:w="22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21.1%</w:t>
            </w:r>
          </w:p>
        </w:tc>
      </w:tr>
      <w:tr>
        <w:tc>
          <w:tcPr>
            <w:tcW w:type="dxa" w:w="32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Fortune Business Insights</w:t>
            </w:r>
          </w:p>
        </w:tc>
        <w:tc>
          <w:tcPr>
            <w:tcW w:type="dxa" w:w="22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$4.25B</w:t>
            </w:r>
          </w:p>
        </w:tc>
        <w:tc>
          <w:tcPr>
            <w:tcW w:type="dxa" w:w="248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$75.5B</w:t>
            </w:r>
          </w:p>
        </w:tc>
        <w:tc>
          <w:tcPr>
            <w:tcW w:type="dxa" w:w="22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37.7%</w:t>
            </w:r>
          </w:p>
        </w:tc>
      </w:tr>
      <w:tr>
        <w:tc>
          <w:tcPr>
            <w:tcW w:type="dxa" w:w="32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Fact.MR</w:t>
            </w:r>
          </w:p>
        </w:tc>
        <w:tc>
          <w:tcPr>
            <w:tcW w:type="dxa" w:w="22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$4.66B</w:t>
            </w:r>
          </w:p>
        </w:tc>
        <w:tc>
          <w:tcPr>
            <w:tcW w:type="dxa" w:w="248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$59.5B</w:t>
            </w:r>
          </w:p>
        </w:tc>
        <w:tc>
          <w:tcPr>
            <w:tcW w:type="dxa" w:w="22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29.0%</w:t>
            </w:r>
          </w:p>
        </w:tc>
      </w:tr>
      <w:tr>
        <w:tc>
          <w:tcPr>
            <w:tcW w:type="dxa" w:w="32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MarketsandMarkets</w:t>
            </w:r>
          </w:p>
        </w:tc>
        <w:tc>
          <w:tcPr>
            <w:tcW w:type="dxa" w:w="22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$2.29B</w:t>
            </w:r>
          </w:p>
        </w:tc>
        <w:tc>
          <w:tcPr>
            <w:tcW w:type="dxa" w:w="248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$4.75B (2030)</w:t>
            </w:r>
          </w:p>
        </w:tc>
        <w:tc>
          <w:tcPr>
            <w:tcW w:type="dxa" w:w="22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15.7%</w:t>
            </w:r>
          </w:p>
        </w:tc>
      </w:tr>
    </w:tbl>
    <w:p>
      <w:pPr>
        <w:spacing w:before="60" w:after="80"/>
        <w:jc w:val="left"/>
      </w:pPr>
      <w:r>
        <w:rPr>
          <w:rFonts w:ascii="Calibri" w:cs="Calibri" w:eastAsia="Calibri" w:hAnsi="Calibri"/>
          <w:b w:val="false"/>
          <w:bCs w:val="false"/>
          <w:i/>
          <w:iCs/>
          <w:color w:val="666666"/>
          <w:sz w:val="20"/>
          <w:szCs w:val="20"/>
        </w:rPr>
        <w:t xml:space="preserve">The wide CAGR range reflects different scope definitions. This analysis uses the conservative midpoint of $8.9B as the TAM baseline.</w:t>
      </w:r>
    </w:p>
    <w:p>
      <w:pPr>
        <w:spacing w:before="0" w:after="0"/>
      </w:pPr>
      <w:r>
        <w:rPr>
          <w:sz w:val="14"/>
          <w:szCs w:val="14"/>
        </w:rPr>
        <w:t xml:space="preserve"/>
      </w:r>
    </w:p>
    <w:p>
      <w:pPr>
        <w:spacing w:before="200" w:after="60"/>
      </w:pPr>
      <w:r>
        <w:rPr>
          <w:rFonts w:ascii="Calibri" w:cs="Calibri" w:eastAsia="Calibri" w:hAnsi="Calibri"/>
          <w:b/>
          <w:bCs/>
          <w:color w:val="1A5276"/>
          <w:sz w:val="21"/>
          <w:szCs w:val="21"/>
        </w:rPr>
        <w:t xml:space="preserve">Narrowing to Performance Analytics</w:t>
      </w:r>
    </w:p>
    <w:p>
      <w:pPr>
        <w:spacing w:before="60" w:after="80"/>
        <w:jc w:val="left"/>
      </w:pPr>
      <w:r>
        <w:rPr>
          <w:rFonts w:ascii="Calibri" w:cs="Calibri" w:eastAsia="Calibri" w:hAnsi="Calibri"/>
          <w:b w:val="false"/>
          <w:bCs w:val="false"/>
          <w:i w:val="false"/>
          <w:iCs w:val="false"/>
          <w:color w:val="2C2C2C"/>
          <w:sz w:val="20"/>
          <w:szCs w:val="20"/>
        </w:rPr>
        <w:t xml:space="preserve">Within AI in sports, the performance analysis and prediction sub-segment accounts for over 25% of total market value (Meticulous Research, 2025). Computer vision-based tools — the technology underpinning SquashVision — are the fastest-growing segment at approximately 30% CAGR. This gives a directly relevant TAM of:</w:t>
      </w:r>
    </w:p>
    <w:p>
      <w:pPr>
        <w:spacing w:before="0" w:after="0"/>
      </w:pPr>
      <w:r>
        <w:rPr>
          <w:sz w:val="14"/>
          <w:szCs w:val="14"/>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ED6F1" w:sz="3"/>
              <w:left w:val="single" w:color="2E75B6" w:sz="18"/>
              <w:bottom w:val="single" w:color="AED6F1" w:sz="3"/>
              <w:right w:val="single" w:color="AED6F1" w:sz="3"/>
            </w:tcBorders>
            <w:shd w:fill="E8F4FD" w:val="clear"/>
            <w:tcMar>
              <w:top w:type="dxa" w:w="140"/>
              <w:left w:type="dxa" w:w="240"/>
              <w:bottom w:type="dxa" w:w="140"/>
              <w:right w:type="dxa" w:w="200"/>
            </w:tcMar>
          </w:tcPr>
          <w:p>
            <w:pPr>
              <w:spacing w:before="0" w:after="60"/>
            </w:pPr>
            <w:r>
              <w:rPr>
                <w:rFonts w:ascii="Calibri" w:cs="Calibri" w:eastAsia="Calibri" w:hAnsi="Calibri"/>
                <w:b/>
                <w:bCs/>
                <w:color w:val="1F3864"/>
                <w:sz w:val="20"/>
                <w:szCs w:val="20"/>
              </w:rPr>
              <w:t xml:space="preserve">Performance Analytics TAM</w:t>
            </w:r>
          </w:p>
          <w:p>
            <w:pPr>
              <w:spacing w:before="0" w:after="0"/>
            </w:pPr>
            <w:r>
              <w:rPr>
                <w:rFonts w:ascii="Calibri" w:cs="Calibri" w:eastAsia="Calibri" w:hAnsi="Calibri"/>
                <w:color w:val="2C2C2C"/>
                <w:sz w:val="19"/>
                <w:szCs w:val="19"/>
              </w:rPr>
              <w:t xml:space="preserve">$8.9B total AI sports × 25% performance analytics share = ~$2.2B. Computer vision subset at ~35% of this = ~$770M in 2024, growing to over $8B by 2034 at 30% CAGR. This is the precise market segment in which SquashVision competes.</w:t>
            </w:r>
          </w:p>
        </w:tc>
      </w:tr>
    </w:tbl>
    <w:p>
      <w:pPr>
        <w:spacing w:before="0" w:after="0"/>
      </w:pPr>
      <w:r>
        <w:rPr>
          <w:sz w:val="14"/>
          <w:szCs w:val="14"/>
        </w:rPr>
        <w:t xml:space="preserve"/>
      </w:r>
    </w:p>
    <w:p>
      <w:pPr>
        <w:spacing w:before="200" w:after="60"/>
      </w:pPr>
      <w:r>
        <w:rPr>
          <w:rFonts w:ascii="Calibri" w:cs="Calibri" w:eastAsia="Calibri" w:hAnsi="Calibri"/>
          <w:b/>
          <w:bCs/>
          <w:color w:val="1A5276"/>
          <w:sz w:val="21"/>
          <w:szCs w:val="21"/>
        </w:rPr>
        <w:t xml:space="preserve">The Olympic Catalyst</w:t>
      </w:r>
    </w:p>
    <w:p>
      <w:pPr>
        <w:spacing w:before="60" w:after="80"/>
        <w:jc w:val="left"/>
      </w:pPr>
      <w:r>
        <w:rPr>
          <w:rFonts w:ascii="Calibri" w:cs="Calibri" w:eastAsia="Calibri" w:hAnsi="Calibri"/>
          <w:b w:val="false"/>
          <w:bCs w:val="false"/>
          <w:i w:val="false"/>
          <w:iCs w:val="false"/>
          <w:color w:val="2C2C2C"/>
          <w:sz w:val="20"/>
          <w:szCs w:val="20"/>
        </w:rPr>
        <w:t xml:space="preserve">Squash's confirmation at the 2028 Los Angeles Olympics is the single most significant structural demand catalyst the sport has ever seen. The downstream effects are already observable: China has reported over 30% growth in squash clubs and participation since the IOC announcement (Xinhua, May 2025). US high school squash championships have grown tenfold to 195 teams. In November 2025, IBM Corporation announced a multi-year collaboration with Agassi Sports Entertainment to build an AI-powered platform specifically for global racquet sports using IBM's watsonx.ai and computer vision. This is institutional confirmation that the market thesis is credible.</w:t>
      </w:r>
    </w:p>
    <w:p>
      <w:pPr>
        <w:spacing w:before="0" w:after="0"/>
      </w:pPr>
      <w:r>
        <w:rPr>
          <w:sz w:val="14"/>
          <w:szCs w:val="14"/>
        </w:rPr>
        <w:t xml:space="preserve"/>
      </w:r>
    </w:p>
    <w:p>
      <w:pPr>
        <w:pStyle w:val="Heading2"/>
        <w:spacing w:before="280" w:after="100"/>
      </w:pPr>
      <w:r>
        <w:rPr>
          <w:rFonts w:ascii="Calibri" w:cs="Calibri" w:eastAsia="Calibri" w:hAnsi="Calibri"/>
          <w:b/>
          <w:bCs/>
          <w:color w:val="2E75B6"/>
          <w:sz w:val="27"/>
          <w:szCs w:val="27"/>
        </w:rPr>
        <w:t xml:space="preserve">1.3  SAM — Serviceable Addressable Market</w:t>
      </w:r>
    </w:p>
    <w:p>
      <w:pPr>
        <w:spacing w:before="200" w:after="60"/>
      </w:pPr>
      <w:r>
        <w:rPr>
          <w:rFonts w:ascii="Calibri" w:cs="Calibri" w:eastAsia="Calibri" w:hAnsi="Calibri"/>
          <w:b/>
          <w:bCs/>
          <w:color w:val="1A5276"/>
          <w:sz w:val="21"/>
          <w:szCs w:val="21"/>
        </w:rPr>
        <w:t xml:space="preserve">Global Player Base</w:t>
      </w:r>
    </w:p>
    <w:p>
      <w:pPr>
        <w:spacing w:before="60" w:after="80"/>
        <w:jc w:val="left"/>
      </w:pPr>
      <w:r>
        <w:rPr>
          <w:rFonts w:ascii="Calibri" w:cs="Calibri" w:eastAsia="Calibri" w:hAnsi="Calibri"/>
          <w:b w:val="false"/>
          <w:bCs w:val="false"/>
          <w:i w:val="false"/>
          <w:iCs w:val="false"/>
          <w:color w:val="2C2C2C"/>
          <w:sz w:val="20"/>
          <w:szCs w:val="20"/>
        </w:rPr>
        <w:t xml:space="preserve">The World Squash Federation reports over 20 million players across 185 countries and 50,000 courts. The Global Squash Report 2024 — published by the Squash Facilities Network — values the total squash ecosystem at €4 billion annually. The SAM focuses on the segment that would realistically use and pay for a video analytics product: competitive and serious amateur players, and squash academies.</w:t>
      </w:r>
    </w:p>
    <w:p>
      <w:pPr>
        <w:spacing w:before="0" w:after="0"/>
      </w:pPr>
      <w:r>
        <w:rPr>
          <w:sz w:val="14"/>
          <w:szCs w:val="14"/>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960"/>
        <w:gridCol w:w="1400"/>
        <w:gridCol w:w="1680"/>
        <w:gridCol w:w="2240"/>
      </w:tblGrid>
      <w:tr>
        <w:tc>
          <w:tcPr>
            <w:tcW w:type="dxa" w:w="2800"/>
            <w:tcBorders>
              <w:top w:val="single" w:color="1F3864" w:sz="1"/>
              <w:left w:val="single" w:color="1F3864" w:sz="1"/>
              <w:bottom w:val="single" w:color="1F3864" w:sz="1"/>
              <w:right w:val="single" w:color="1F3864" w:sz="1"/>
            </w:tcBorders>
            <w:shd w:fill="2E75B6" w:val="clear"/>
            <w:tcMar>
              <w:top w:type="dxa" w:w="110"/>
              <w:left w:type="dxa" w:w="160"/>
              <w:bottom w:type="dxa" w:w="110"/>
              <w:right w:type="dxa" w:w="160"/>
            </w:tcMar>
          </w:tcPr>
          <w:p>
            <w:pPr>
              <w:jc w:val="left"/>
            </w:pPr>
            <w:r>
              <w:rPr>
                <w:rFonts w:ascii="Calibri" w:cs="Calibri" w:eastAsia="Calibri" w:hAnsi="Calibri"/>
                <w:b/>
                <w:bCs/>
                <w:i w:val="false"/>
                <w:iCs w:val="false"/>
                <w:color w:val="FFFFFF"/>
                <w:sz w:val="19"/>
                <w:szCs w:val="19"/>
              </w:rPr>
              <w:t xml:space="preserve">Country / Region</w:t>
            </w:r>
          </w:p>
        </w:tc>
        <w:tc>
          <w:tcPr>
            <w:tcW w:type="dxa" w:w="1960"/>
            <w:tcBorders>
              <w:top w:val="single" w:color="1F3864" w:sz="1"/>
              <w:left w:val="single" w:color="1F3864" w:sz="1"/>
              <w:bottom w:val="single" w:color="1F3864" w:sz="1"/>
              <w:right w:val="single" w:color="1F3864" w:sz="1"/>
            </w:tcBorders>
            <w:shd w:fill="2E75B6" w:val="clear"/>
            <w:tcMar>
              <w:top w:type="dxa" w:w="110"/>
              <w:left w:type="dxa" w:w="160"/>
              <w:bottom w:type="dxa" w:w="110"/>
              <w:right w:type="dxa" w:w="160"/>
            </w:tcMar>
          </w:tcPr>
          <w:p>
            <w:pPr>
              <w:jc w:val="left"/>
            </w:pPr>
            <w:r>
              <w:rPr>
                <w:rFonts w:ascii="Calibri" w:cs="Calibri" w:eastAsia="Calibri" w:hAnsi="Calibri"/>
                <w:b/>
                <w:bCs/>
                <w:i w:val="false"/>
                <w:iCs w:val="false"/>
                <w:color w:val="FFFFFF"/>
                <w:sz w:val="19"/>
                <w:szCs w:val="19"/>
              </w:rPr>
              <w:t xml:space="preserve">Estimated Players</w:t>
            </w:r>
          </w:p>
        </w:tc>
        <w:tc>
          <w:tcPr>
            <w:tcW w:type="dxa" w:w="1400"/>
            <w:tcBorders>
              <w:top w:val="single" w:color="1F3864" w:sz="1"/>
              <w:left w:val="single" w:color="1F3864" w:sz="1"/>
              <w:bottom w:val="single" w:color="1F3864" w:sz="1"/>
              <w:right w:val="single" w:color="1F3864" w:sz="1"/>
            </w:tcBorders>
            <w:shd w:fill="2E75B6" w:val="clear"/>
            <w:tcMar>
              <w:top w:type="dxa" w:w="110"/>
              <w:left w:type="dxa" w:w="160"/>
              <w:bottom w:type="dxa" w:w="110"/>
              <w:right w:type="dxa" w:w="160"/>
            </w:tcMar>
          </w:tcPr>
          <w:p>
            <w:pPr>
              <w:jc w:val="left"/>
            </w:pPr>
            <w:r>
              <w:rPr>
                <w:rFonts w:ascii="Calibri" w:cs="Calibri" w:eastAsia="Calibri" w:hAnsi="Calibri"/>
                <w:b/>
                <w:bCs/>
                <w:i w:val="false"/>
                <w:iCs w:val="false"/>
                <w:color w:val="FFFFFF"/>
                <w:sz w:val="19"/>
                <w:szCs w:val="19"/>
              </w:rPr>
              <w:t xml:space="preserve">Courts</w:t>
            </w:r>
          </w:p>
        </w:tc>
        <w:tc>
          <w:tcPr>
            <w:tcW w:type="dxa" w:w="1680"/>
            <w:tcBorders>
              <w:top w:val="single" w:color="1F3864" w:sz="1"/>
              <w:left w:val="single" w:color="1F3864" w:sz="1"/>
              <w:bottom w:val="single" w:color="1F3864" w:sz="1"/>
              <w:right w:val="single" w:color="1F3864" w:sz="1"/>
            </w:tcBorders>
            <w:shd w:fill="2E75B6" w:val="clear"/>
            <w:tcMar>
              <w:top w:type="dxa" w:w="110"/>
              <w:left w:type="dxa" w:w="160"/>
              <w:bottom w:type="dxa" w:w="110"/>
              <w:right w:type="dxa" w:w="160"/>
            </w:tcMar>
          </w:tcPr>
          <w:p>
            <w:pPr>
              <w:jc w:val="left"/>
            </w:pPr>
            <w:r>
              <w:rPr>
                <w:rFonts w:ascii="Calibri" w:cs="Calibri" w:eastAsia="Calibri" w:hAnsi="Calibri"/>
                <w:b/>
                <w:bCs/>
                <w:i w:val="false"/>
                <w:iCs w:val="false"/>
                <w:color w:val="FFFFFF"/>
                <w:sz w:val="19"/>
                <w:szCs w:val="19"/>
              </w:rPr>
              <w:t xml:space="preserve">PSA Presence</w:t>
            </w:r>
          </w:p>
        </w:tc>
        <w:tc>
          <w:tcPr>
            <w:tcW w:type="dxa" w:w="2240"/>
            <w:tcBorders>
              <w:top w:val="single" w:color="1F3864" w:sz="1"/>
              <w:left w:val="single" w:color="1F3864" w:sz="1"/>
              <w:bottom w:val="single" w:color="1F3864" w:sz="1"/>
              <w:right w:val="single" w:color="1F3864" w:sz="1"/>
            </w:tcBorders>
            <w:shd w:fill="2E75B6" w:val="clear"/>
            <w:tcMar>
              <w:top w:type="dxa" w:w="110"/>
              <w:left w:type="dxa" w:w="160"/>
              <w:bottom w:type="dxa" w:w="110"/>
              <w:right w:type="dxa" w:w="160"/>
            </w:tcMar>
          </w:tcPr>
          <w:p>
            <w:pPr>
              <w:jc w:val="left"/>
            </w:pPr>
            <w:r>
              <w:rPr>
                <w:rFonts w:ascii="Calibri" w:cs="Calibri" w:eastAsia="Calibri" w:hAnsi="Calibri"/>
                <w:b/>
                <w:bCs/>
                <w:i w:val="false"/>
                <w:iCs w:val="false"/>
                <w:color w:val="FFFFFF"/>
                <w:sz w:val="19"/>
                <w:szCs w:val="19"/>
              </w:rPr>
              <w:t xml:space="preserve">Strategic Relevance</w:t>
            </w:r>
          </w:p>
        </w:tc>
      </w:tr>
      <w:tr>
        <w:tc>
          <w:tcPr>
            <w:tcW w:type="dxa" w:w="28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England</w:t>
            </w:r>
          </w:p>
        </w:tc>
        <w:tc>
          <w:tcPr>
            <w:tcW w:type="dxa" w:w="196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~500,000</w:t>
            </w:r>
          </w:p>
        </w:tc>
        <w:tc>
          <w:tcPr>
            <w:tcW w:type="dxa" w:w="14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8,500</w:t>
            </w:r>
          </w:p>
        </w:tc>
        <w:tc>
          <w:tcPr>
            <w:tcW w:type="dxa" w:w="168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Strong</w:t>
            </w:r>
          </w:p>
        </w:tc>
        <w:tc>
          <w:tcPr>
            <w:tcW w:type="dxa" w:w="224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Largest squash nation by court count</w:t>
            </w:r>
          </w:p>
        </w:tc>
      </w:tr>
      <w:tr>
        <w:tc>
          <w:tcPr>
            <w:tcW w:type="dxa" w:w="28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United States</w:t>
            </w:r>
          </w:p>
        </w:tc>
        <w:tc>
          <w:tcPr>
            <w:tcW w:type="dxa" w:w="196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~1.1 million</w:t>
            </w:r>
          </w:p>
        </w:tc>
        <w:tc>
          <w:tcPr>
            <w:tcW w:type="dxa" w:w="14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3,700</w:t>
            </w:r>
          </w:p>
        </w:tc>
        <w:tc>
          <w:tcPr>
            <w:tcW w:type="dxa" w:w="168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Fast-growing</w:t>
            </w:r>
          </w:p>
        </w:tc>
        <w:tc>
          <w:tcPr>
            <w:tcW w:type="dxa" w:w="224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Olympic host 2028; 10× high school growth</w:t>
            </w:r>
          </w:p>
        </w:tc>
      </w:tr>
      <w:tr>
        <w:tc>
          <w:tcPr>
            <w:tcW w:type="dxa" w:w="28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Egypt</w:t>
            </w:r>
          </w:p>
        </w:tc>
        <w:tc>
          <w:tcPr>
            <w:tcW w:type="dxa" w:w="196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~600,000 est.</w:t>
            </w:r>
          </w:p>
        </w:tc>
        <w:tc>
          <w:tcPr>
            <w:tcW w:type="dxa" w:w="14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~1,000+</w:t>
            </w:r>
          </w:p>
        </w:tc>
        <w:tc>
          <w:tcPr>
            <w:tcW w:type="dxa" w:w="168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#1 globally</w:t>
            </w:r>
          </w:p>
        </w:tc>
        <w:tc>
          <w:tcPr>
            <w:tcW w:type="dxa" w:w="224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Dominates PSA world rankings</w:t>
            </w:r>
          </w:p>
        </w:tc>
      </w:tr>
      <w:tr>
        <w:tc>
          <w:tcPr>
            <w:tcW w:type="dxa" w:w="28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India</w:t>
            </w:r>
          </w:p>
        </w:tc>
        <w:tc>
          <w:tcPr>
            <w:tcW w:type="dxa" w:w="196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~200,000–300,000 est.</w:t>
            </w:r>
          </w:p>
        </w:tc>
        <w:tc>
          <w:tcPr>
            <w:tcW w:type="dxa" w:w="14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~800 est.</w:t>
            </w:r>
          </w:p>
        </w:tc>
        <w:tc>
          <w:tcPr>
            <w:tcW w:type="dxa" w:w="168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Top 30 players</w:t>
            </w:r>
          </w:p>
        </w:tc>
        <w:tc>
          <w:tcPr>
            <w:tcW w:type="dxa" w:w="224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Fastest-growing Asia market; SRFI active</w:t>
            </w:r>
          </w:p>
        </w:tc>
      </w:tr>
      <w:tr>
        <w:tc>
          <w:tcPr>
            <w:tcW w:type="dxa" w:w="28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Australia</w:t>
            </w:r>
          </w:p>
        </w:tc>
        <w:tc>
          <w:tcPr>
            <w:tcW w:type="dxa" w:w="196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~108,000</w:t>
            </w:r>
          </w:p>
        </w:tc>
        <w:tc>
          <w:tcPr>
            <w:tcW w:type="dxa" w:w="14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~3,500</w:t>
            </w:r>
          </w:p>
        </w:tc>
        <w:tc>
          <w:tcPr>
            <w:tcW w:type="dxa" w:w="168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Multiple top-50s</w:t>
            </w:r>
          </w:p>
        </w:tc>
        <w:tc>
          <w:tcPr>
            <w:tcW w:type="dxa" w:w="224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High technology adoption rate</w:t>
            </w:r>
          </w:p>
        </w:tc>
      </w:tr>
      <w:tr>
        <w:tc>
          <w:tcPr>
            <w:tcW w:type="dxa" w:w="28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France</w:t>
            </w:r>
          </w:p>
        </w:tc>
        <w:tc>
          <w:tcPr>
            <w:tcW w:type="dxa" w:w="196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~250,000</w:t>
            </w:r>
          </w:p>
        </w:tc>
        <w:tc>
          <w:tcPr>
            <w:tcW w:type="dxa" w:w="14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~1,300</w:t>
            </w:r>
          </w:p>
        </w:tc>
        <w:tc>
          <w:tcPr>
            <w:tcW w:type="dxa" w:w="168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Multiple top-20s</w:t>
            </w:r>
          </w:p>
        </w:tc>
        <w:tc>
          <w:tcPr>
            <w:tcW w:type="dxa" w:w="224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Growing European market</w:t>
            </w:r>
          </w:p>
        </w:tc>
      </w:tr>
    </w:tbl>
    <w:p>
      <w:pPr>
        <w:spacing w:before="60" w:after="80"/>
        <w:jc w:val="left"/>
      </w:pPr>
      <w:r>
        <w:rPr>
          <w:rFonts w:ascii="Calibri" w:cs="Calibri" w:eastAsia="Calibri" w:hAnsi="Calibri"/>
          <w:b w:val="false"/>
          <w:bCs w:val="false"/>
          <w:i/>
          <w:iCs/>
          <w:color w:val="666666"/>
          <w:sz w:val="20"/>
          <w:szCs w:val="20"/>
        </w:rPr>
        <w:t xml:space="preserve">Sources: World Squash Federation, Global Squash Report 2024, PSA rankings, Australian Sports Commission.</w:t>
      </w:r>
    </w:p>
    <w:p>
      <w:pPr>
        <w:spacing w:before="0" w:after="0"/>
      </w:pPr>
      <w:r>
        <w:rPr>
          <w:sz w:val="14"/>
          <w:szCs w:val="14"/>
        </w:rPr>
        <w:t xml:space="preserve"/>
      </w:r>
    </w:p>
    <w:p>
      <w:pPr>
        <w:spacing w:before="200" w:after="60"/>
      </w:pPr>
      <w:r>
        <w:rPr>
          <w:rFonts w:ascii="Calibri" w:cs="Calibri" w:eastAsia="Calibri" w:hAnsi="Calibri"/>
          <w:b/>
          <w:bCs/>
          <w:color w:val="1A5276"/>
          <w:sz w:val="21"/>
          <w:szCs w:val="21"/>
        </w:rPr>
        <w:t xml:space="preserve">India — Primary Target Market</w:t>
      </w:r>
    </w:p>
    <w:p>
      <w:pPr>
        <w:spacing w:before="60" w:after="80"/>
        <w:jc w:val="left"/>
      </w:pPr>
      <w:r>
        <w:rPr>
          <w:rFonts w:ascii="Calibri" w:cs="Calibri" w:eastAsia="Calibri" w:hAnsi="Calibri"/>
          <w:b w:val="false"/>
          <w:bCs w:val="false"/>
          <w:i w:val="false"/>
          <w:iCs w:val="false"/>
          <w:color w:val="2C2C2C"/>
          <w:sz w:val="20"/>
          <w:szCs w:val="20"/>
        </w:rPr>
        <w:t xml:space="preserve">India is the natural entry geography for three compounding reasons. First, the Squash Rackets Federation of India launched the India Squash Tour in July 2025 — covering six cities (Jaipur, Mumbai, Chennai, Bengaluru, Ahmedabad, Delhi) — creating an organised competitive infrastructure that did not previously exist at this scale. Second, HCL Corporation partnered with SRFI in 2025 to fund PSA tournaments, coaching camps, and high-performance development, signalling that corporate India is investing seriously in the sport. Third, India's elite players are breaking into the global top 30: Abhay Singh at World No. 35, Ramit Tandon at No. 28, and Anahat Singh's climb from No. 129 to No. 54 in a single year (2025).</w:t>
      </w:r>
    </w:p>
    <w:p>
      <w:pPr>
        <w:spacing w:before="60" w:after="80"/>
        <w:jc w:val="left"/>
      </w:pPr>
      <w:r>
        <w:rPr>
          <w:rFonts w:ascii="Calibri" w:cs="Calibri" w:eastAsia="Calibri" w:hAnsi="Calibri"/>
          <w:b w:val="false"/>
          <w:bCs w:val="false"/>
          <w:i w:val="false"/>
          <w:iCs w:val="false"/>
          <w:color w:val="2C2C2C"/>
          <w:sz w:val="20"/>
          <w:szCs w:val="20"/>
        </w:rPr>
        <w:t xml:space="preserve">There are currently only 13 WSF Level 2 certified coaches active in India — a significant coaching capability gap that a data-driven analytics tool can partially address over time.</w:t>
      </w:r>
    </w:p>
    <w:p>
      <w:pPr>
        <w:spacing w:before="0" w:after="0"/>
      </w:pPr>
      <w:r>
        <w:rPr>
          <w:sz w:val="14"/>
          <w:szCs w:val="14"/>
        </w:rPr>
        <w:t xml:space="preserve"/>
      </w:r>
    </w:p>
    <w:p>
      <w:pPr>
        <w:spacing w:before="200" w:after="60"/>
      </w:pPr>
      <w:r>
        <w:rPr>
          <w:rFonts w:ascii="Calibri" w:cs="Calibri" w:eastAsia="Calibri" w:hAnsi="Calibri"/>
          <w:b/>
          <w:bCs/>
          <w:color w:val="1A5276"/>
          <w:sz w:val="21"/>
          <w:szCs w:val="21"/>
        </w:rPr>
        <w:t xml:space="preserve">SAM Calculation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480"/>
        <w:gridCol w:w="2200"/>
      </w:tblGrid>
      <w:tr>
        <w:tc>
          <w:tcPr>
            <w:tcW w:type="dxa" w:w="3200"/>
            <w:tcBorders>
              <w:top w:val="single" w:color="1F3864" w:sz="1"/>
              <w:left w:val="single" w:color="1F3864" w:sz="1"/>
              <w:bottom w:val="single" w:color="1F3864" w:sz="1"/>
              <w:right w:val="single" w:color="1F3864" w:sz="1"/>
            </w:tcBorders>
            <w:shd w:fill="1A5276" w:val="clear"/>
            <w:tcMar>
              <w:top w:type="dxa" w:w="110"/>
              <w:left w:type="dxa" w:w="160"/>
              <w:bottom w:type="dxa" w:w="110"/>
              <w:right w:type="dxa" w:w="160"/>
            </w:tcMar>
          </w:tcPr>
          <w:p>
            <w:pPr>
              <w:jc w:val="left"/>
            </w:pPr>
            <w:r>
              <w:rPr>
                <w:rFonts w:ascii="Calibri" w:cs="Calibri" w:eastAsia="Calibri" w:hAnsi="Calibri"/>
                <w:b/>
                <w:bCs/>
                <w:i w:val="false"/>
                <w:iCs w:val="false"/>
                <w:color w:val="FFFFFF"/>
                <w:sz w:val="19"/>
                <w:szCs w:val="19"/>
              </w:rPr>
              <w:t xml:space="preserve">Segment</w:t>
            </w:r>
          </w:p>
        </w:tc>
        <w:tc>
          <w:tcPr>
            <w:tcW w:type="dxa" w:w="2200"/>
            <w:tcBorders>
              <w:top w:val="single" w:color="1F3864" w:sz="1"/>
              <w:left w:val="single" w:color="1F3864" w:sz="1"/>
              <w:bottom w:val="single" w:color="1F3864" w:sz="1"/>
              <w:right w:val="single" w:color="1F3864" w:sz="1"/>
            </w:tcBorders>
            <w:shd w:fill="1A5276" w:val="clear"/>
            <w:tcMar>
              <w:top w:type="dxa" w:w="110"/>
              <w:left w:type="dxa" w:w="160"/>
              <w:bottom w:type="dxa" w:w="110"/>
              <w:right w:type="dxa" w:w="160"/>
            </w:tcMar>
          </w:tcPr>
          <w:p>
            <w:pPr>
              <w:jc w:val="left"/>
            </w:pPr>
            <w:r>
              <w:rPr>
                <w:rFonts w:ascii="Calibri" w:cs="Calibri" w:eastAsia="Calibri" w:hAnsi="Calibri"/>
                <w:b/>
                <w:bCs/>
                <w:i w:val="false"/>
                <w:iCs w:val="false"/>
                <w:color w:val="FFFFFF"/>
                <w:sz w:val="19"/>
                <w:szCs w:val="19"/>
              </w:rPr>
              <w:t xml:space="preserve">Size Estimate</w:t>
            </w:r>
          </w:p>
        </w:tc>
        <w:tc>
          <w:tcPr>
            <w:tcW w:type="dxa" w:w="2480"/>
            <w:tcBorders>
              <w:top w:val="single" w:color="1F3864" w:sz="1"/>
              <w:left w:val="single" w:color="1F3864" w:sz="1"/>
              <w:bottom w:val="single" w:color="1F3864" w:sz="1"/>
              <w:right w:val="single" w:color="1F3864" w:sz="1"/>
            </w:tcBorders>
            <w:shd w:fill="1A5276" w:val="clear"/>
            <w:tcMar>
              <w:top w:type="dxa" w:w="110"/>
              <w:left w:type="dxa" w:w="160"/>
              <w:bottom w:type="dxa" w:w="110"/>
              <w:right w:type="dxa" w:w="160"/>
            </w:tcMar>
          </w:tcPr>
          <w:p>
            <w:pPr>
              <w:jc w:val="left"/>
            </w:pPr>
            <w:r>
              <w:rPr>
                <w:rFonts w:ascii="Calibri" w:cs="Calibri" w:eastAsia="Calibri" w:hAnsi="Calibri"/>
                <w:b/>
                <w:bCs/>
                <w:i w:val="false"/>
                <w:iCs w:val="false"/>
                <w:color w:val="FFFFFF"/>
                <w:sz w:val="19"/>
                <w:szCs w:val="19"/>
              </w:rPr>
              <w:t xml:space="preserve">Basis</w:t>
            </w:r>
          </w:p>
        </w:tc>
        <w:tc>
          <w:tcPr>
            <w:tcW w:type="dxa" w:w="2200"/>
            <w:tcBorders>
              <w:top w:val="single" w:color="1F3864" w:sz="1"/>
              <w:left w:val="single" w:color="1F3864" w:sz="1"/>
              <w:bottom w:val="single" w:color="1F3864" w:sz="1"/>
              <w:right w:val="single" w:color="1F3864" w:sz="1"/>
            </w:tcBorders>
            <w:shd w:fill="1A5276" w:val="clear"/>
            <w:tcMar>
              <w:top w:type="dxa" w:w="110"/>
              <w:left w:type="dxa" w:w="160"/>
              <w:bottom w:type="dxa" w:w="110"/>
              <w:right w:type="dxa" w:w="160"/>
            </w:tcMar>
          </w:tcPr>
          <w:p>
            <w:pPr>
              <w:jc w:val="left"/>
            </w:pPr>
            <w:r>
              <w:rPr>
                <w:rFonts w:ascii="Calibri" w:cs="Calibri" w:eastAsia="Calibri" w:hAnsi="Calibri"/>
                <w:b/>
                <w:bCs/>
                <w:i w:val="false"/>
                <w:iCs w:val="false"/>
                <w:color w:val="FFFFFF"/>
                <w:sz w:val="19"/>
                <w:szCs w:val="19"/>
              </w:rPr>
              <w:t xml:space="preserve">ARPU / Year</w:t>
            </w:r>
          </w:p>
        </w:tc>
      </w:tr>
      <w:tr>
        <w:tc>
          <w:tcPr>
            <w:tcW w:type="dxa" w:w="32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Serious / competitive players globally</w:t>
            </w:r>
          </w:p>
        </w:tc>
        <w:tc>
          <w:tcPr>
            <w:tcW w:type="dxa" w:w="22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~3 million</w:t>
            </w:r>
          </w:p>
        </w:tc>
        <w:tc>
          <w:tcPr>
            <w:tcW w:type="dxa" w:w="248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15% of 20M WSF base</w:t>
            </w:r>
          </w:p>
        </w:tc>
        <w:tc>
          <w:tcPr>
            <w:tcW w:type="dxa" w:w="22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$100</w:t>
            </w:r>
          </w:p>
        </w:tc>
      </w:tr>
      <w:tr>
        <w:tc>
          <w:tcPr>
            <w:tcW w:type="dxa" w:w="32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Squash academies globally</w:t>
            </w:r>
          </w:p>
        </w:tc>
        <w:tc>
          <w:tcPr>
            <w:tcW w:type="dxa" w:w="22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~5,000 est.</w:t>
            </w:r>
          </w:p>
        </w:tc>
        <w:tc>
          <w:tcPr>
            <w:tcW w:type="dxa" w:w="248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Based on court density and coach ratios</w:t>
            </w:r>
          </w:p>
        </w:tc>
        <w:tc>
          <w:tcPr>
            <w:tcW w:type="dxa" w:w="22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$600</w:t>
            </w:r>
          </w:p>
        </w:tc>
      </w:tr>
      <w:tr>
        <w:tc>
          <w:tcPr>
            <w:tcW w:type="dxa" w:w="32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India — serious competitive players</w:t>
            </w:r>
          </w:p>
        </w:tc>
        <w:tc>
          <w:tcPr>
            <w:tcW w:type="dxa" w:w="22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~30,000–50,000</w:t>
            </w:r>
          </w:p>
        </w:tc>
        <w:tc>
          <w:tcPr>
            <w:tcW w:type="dxa" w:w="248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SRFI India Squash Tour registrations</w:t>
            </w:r>
          </w:p>
        </w:tc>
        <w:tc>
          <w:tcPr>
            <w:tcW w:type="dxa" w:w="22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₹2,400–4,800</w:t>
            </w:r>
          </w:p>
        </w:tc>
      </w:tr>
      <w:tr>
        <w:tc>
          <w:tcPr>
            <w:tcW w:type="dxa" w:w="32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India — squash academies</w:t>
            </w:r>
          </w:p>
        </w:tc>
        <w:tc>
          <w:tcPr>
            <w:tcW w:type="dxa" w:w="22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~200–300 est.</w:t>
            </w:r>
          </w:p>
        </w:tc>
        <w:tc>
          <w:tcPr>
            <w:tcW w:type="dxa" w:w="248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SRFI registered academies and clubs</w:t>
            </w:r>
          </w:p>
        </w:tc>
        <w:tc>
          <w:tcPr>
            <w:tcW w:type="dxa" w:w="22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₹36,000</w:t>
            </w:r>
          </w:p>
        </w:tc>
      </w:tr>
      <w:tr>
        <w:tc>
          <w:tcPr>
            <w:tcW w:type="dxa" w:w="32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bCs/>
                <w:i w:val="false"/>
                <w:iCs w:val="false"/>
                <w:color w:val="2C2C2C"/>
                <w:sz w:val="19"/>
                <w:szCs w:val="19"/>
              </w:rPr>
              <w:t xml:space="preserve">SAM — Global (conservative)</w:t>
            </w:r>
          </w:p>
        </w:tc>
        <w:tc>
          <w:tcPr>
            <w:tcW w:type="dxa" w:w="22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bCs/>
                <w:i w:val="false"/>
                <w:iCs w:val="false"/>
                <w:color w:val="2C2C2C"/>
                <w:sz w:val="19"/>
                <w:szCs w:val="19"/>
              </w:rPr>
              <w:t xml:space="preserve">~$330M ARR potential</w:t>
            </w:r>
          </w:p>
        </w:tc>
        <w:tc>
          <w:tcPr>
            <w:tcW w:type="dxa" w:w="248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3M players × $100 + 5K academies × $600</w:t>
            </w:r>
          </w:p>
        </w:tc>
        <w:tc>
          <w:tcPr>
            <w:tcW w:type="dxa" w:w="22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Blended</w:t>
            </w:r>
          </w:p>
        </w:tc>
      </w:tr>
      <w:tr>
        <w:tc>
          <w:tcPr>
            <w:tcW w:type="dxa" w:w="32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bCs/>
                <w:i w:val="false"/>
                <w:iCs w:val="false"/>
                <w:color w:val="2C2C2C"/>
                <w:sz w:val="19"/>
                <w:szCs w:val="19"/>
              </w:rPr>
              <w:t xml:space="preserve">SAM — India only (conservative)</w:t>
            </w:r>
          </w:p>
        </w:tc>
        <w:tc>
          <w:tcPr>
            <w:tcW w:type="dxa" w:w="22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bCs/>
                <w:i w:val="false"/>
                <w:iCs w:val="false"/>
                <w:color w:val="2C2C2C"/>
                <w:sz w:val="19"/>
                <w:szCs w:val="19"/>
              </w:rPr>
              <w:t xml:space="preserve">~₹7.2 crore (~$870K)</w:t>
            </w:r>
          </w:p>
        </w:tc>
        <w:tc>
          <w:tcPr>
            <w:tcW w:type="dxa" w:w="248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40K players × ₹1,200 + 250 academies × ₹36K</w:t>
            </w:r>
          </w:p>
        </w:tc>
        <w:tc>
          <w:tcPr>
            <w:tcW w:type="dxa" w:w="22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Blended</w:t>
            </w:r>
          </w:p>
        </w:tc>
      </w:tr>
    </w:tbl>
    <w:p>
      <w:pPr>
        <w:spacing w:before="0" w:after="0"/>
      </w:pPr>
      <w:r>
        <w:rPr>
          <w:sz w:val="14"/>
          <w:szCs w:val="14"/>
        </w:rPr>
        <w:t xml:space="preserve"/>
      </w:r>
    </w:p>
    <w:p>
      <w:pPr>
        <w:pStyle w:val="Heading2"/>
        <w:spacing w:before="280" w:after="100"/>
      </w:pPr>
      <w:r>
        <w:rPr>
          <w:rFonts w:ascii="Calibri" w:cs="Calibri" w:eastAsia="Calibri" w:hAnsi="Calibri"/>
          <w:b/>
          <w:bCs/>
          <w:color w:val="2E75B6"/>
          <w:sz w:val="27"/>
          <w:szCs w:val="27"/>
        </w:rPr>
        <w:t xml:space="preserve">1.4  SOM — Serviceable Obtainable Market</w:t>
      </w:r>
    </w:p>
    <w:p>
      <w:pPr>
        <w:spacing w:before="60" w:after="80"/>
        <w:jc w:val="left"/>
      </w:pPr>
      <w:r>
        <w:rPr>
          <w:rFonts w:ascii="Calibri" w:cs="Calibri" w:eastAsia="Calibri" w:hAnsi="Calibri"/>
          <w:b w:val="false"/>
          <w:bCs w:val="false"/>
          <w:i w:val="false"/>
          <w:iCs w:val="false"/>
          <w:color w:val="2C2C2C"/>
          <w:sz w:val="20"/>
          <w:szCs w:val="20"/>
        </w:rPr>
        <w:t xml:space="preserve">The SOM is benchmarked against SwingVision's growth trajectory: it grew from approximately $1 million ARR in 2022 to $2.74 million in FY2024, reaching 20,000 paying subscribers over several years — not overnight. SquashVision is currently in active development as a research-stage project. The projections below are deliberately conservative, reflecting a build-as-you-go pace where technical development, user validation, and eventual commercialisation happen in sequence rather than simultaneously.</w:t>
      </w:r>
    </w:p>
    <w:p>
      <w:pPr>
        <w:spacing w:before="0" w:after="0"/>
      </w:pPr>
      <w:r>
        <w:rPr>
          <w:sz w:val="14"/>
          <w:szCs w:val="14"/>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400"/>
        <w:gridCol w:w="1880"/>
        <w:gridCol w:w="1800"/>
      </w:tblGrid>
      <w:tr>
        <w:tc>
          <w:tcPr>
            <w:tcW w:type="dxa" w:w="2000"/>
            <w:tcBorders>
              <w:top w:val="single" w:color="1F3864" w:sz="1"/>
              <w:left w:val="single" w:color="1F3864" w:sz="1"/>
              <w:bottom w:val="single" w:color="1F3864" w:sz="1"/>
              <w:right w:val="single" w:color="1F3864" w:sz="1"/>
            </w:tcBorders>
            <w:shd w:fill="1F3864" w:val="clear"/>
            <w:tcMar>
              <w:top w:type="dxa" w:w="110"/>
              <w:left w:type="dxa" w:w="160"/>
              <w:bottom w:type="dxa" w:w="110"/>
              <w:right w:type="dxa" w:w="160"/>
            </w:tcMar>
          </w:tcPr>
          <w:p>
            <w:pPr>
              <w:jc w:val="left"/>
            </w:pPr>
            <w:r>
              <w:rPr>
                <w:rFonts w:ascii="Calibri" w:cs="Calibri" w:eastAsia="Calibri" w:hAnsi="Calibri"/>
                <w:b/>
                <w:bCs/>
                <w:i w:val="false"/>
                <w:iCs w:val="false"/>
                <w:color w:val="FFFFFF"/>
                <w:sz w:val="19"/>
                <w:szCs w:val="19"/>
              </w:rPr>
              <w:t xml:space="preserve">Stage</w:t>
            </w:r>
          </w:p>
        </w:tc>
        <w:tc>
          <w:tcPr>
            <w:tcW w:type="dxa" w:w="2000"/>
            <w:tcBorders>
              <w:top w:val="single" w:color="1F3864" w:sz="1"/>
              <w:left w:val="single" w:color="1F3864" w:sz="1"/>
              <w:bottom w:val="single" w:color="1F3864" w:sz="1"/>
              <w:right w:val="single" w:color="1F3864" w:sz="1"/>
            </w:tcBorders>
            <w:shd w:fill="1F3864" w:val="clear"/>
            <w:tcMar>
              <w:top w:type="dxa" w:w="110"/>
              <w:left w:type="dxa" w:w="160"/>
              <w:bottom w:type="dxa" w:w="110"/>
              <w:right w:type="dxa" w:w="160"/>
            </w:tcMar>
          </w:tcPr>
          <w:p>
            <w:pPr>
              <w:jc w:val="left"/>
            </w:pPr>
            <w:r>
              <w:rPr>
                <w:rFonts w:ascii="Calibri" w:cs="Calibri" w:eastAsia="Calibri" w:hAnsi="Calibri"/>
                <w:b/>
                <w:bCs/>
                <w:i w:val="false"/>
                <w:iCs w:val="false"/>
                <w:color w:val="FFFFFF"/>
                <w:sz w:val="19"/>
                <w:szCs w:val="19"/>
              </w:rPr>
              <w:t xml:space="preserve">Horizon</w:t>
            </w:r>
          </w:p>
        </w:tc>
        <w:tc>
          <w:tcPr>
            <w:tcW w:type="dxa" w:w="2400"/>
            <w:tcBorders>
              <w:top w:val="single" w:color="1F3864" w:sz="1"/>
              <w:left w:val="single" w:color="1F3864" w:sz="1"/>
              <w:bottom w:val="single" w:color="1F3864" w:sz="1"/>
              <w:right w:val="single" w:color="1F3864" w:sz="1"/>
            </w:tcBorders>
            <w:shd w:fill="1F3864" w:val="clear"/>
            <w:tcMar>
              <w:top w:type="dxa" w:w="110"/>
              <w:left w:type="dxa" w:w="160"/>
              <w:bottom w:type="dxa" w:w="110"/>
              <w:right w:type="dxa" w:w="160"/>
            </w:tcMar>
          </w:tcPr>
          <w:p>
            <w:pPr>
              <w:jc w:val="left"/>
            </w:pPr>
            <w:r>
              <w:rPr>
                <w:rFonts w:ascii="Calibri" w:cs="Calibri" w:eastAsia="Calibri" w:hAnsi="Calibri"/>
                <w:b/>
                <w:bCs/>
                <w:i w:val="false"/>
                <w:iCs w:val="false"/>
                <w:color w:val="FFFFFF"/>
                <w:sz w:val="19"/>
                <w:szCs w:val="19"/>
              </w:rPr>
              <w:t xml:space="preserve">India Users</w:t>
            </w:r>
          </w:p>
        </w:tc>
        <w:tc>
          <w:tcPr>
            <w:tcW w:type="dxa" w:w="1880"/>
            <w:tcBorders>
              <w:top w:val="single" w:color="1F3864" w:sz="1"/>
              <w:left w:val="single" w:color="1F3864" w:sz="1"/>
              <w:bottom w:val="single" w:color="1F3864" w:sz="1"/>
              <w:right w:val="single" w:color="1F3864" w:sz="1"/>
            </w:tcBorders>
            <w:shd w:fill="1F3864" w:val="clear"/>
            <w:tcMar>
              <w:top w:type="dxa" w:w="110"/>
              <w:left w:type="dxa" w:w="160"/>
              <w:bottom w:type="dxa" w:w="110"/>
              <w:right w:type="dxa" w:w="160"/>
            </w:tcMar>
          </w:tcPr>
          <w:p>
            <w:pPr>
              <w:jc w:val="left"/>
            </w:pPr>
            <w:r>
              <w:rPr>
                <w:rFonts w:ascii="Calibri" w:cs="Calibri" w:eastAsia="Calibri" w:hAnsi="Calibri"/>
                <w:b/>
                <w:bCs/>
                <w:i w:val="false"/>
                <w:iCs w:val="false"/>
                <w:color w:val="FFFFFF"/>
                <w:sz w:val="19"/>
                <w:szCs w:val="19"/>
              </w:rPr>
              <w:t xml:space="preserve">International</w:t>
            </w:r>
          </w:p>
        </w:tc>
        <w:tc>
          <w:tcPr>
            <w:tcW w:type="dxa" w:w="1800"/>
            <w:tcBorders>
              <w:top w:val="single" w:color="1F3864" w:sz="1"/>
              <w:left w:val="single" w:color="1F3864" w:sz="1"/>
              <w:bottom w:val="single" w:color="1F3864" w:sz="1"/>
              <w:right w:val="single" w:color="1F3864" w:sz="1"/>
            </w:tcBorders>
            <w:shd w:fill="1F3864" w:val="clear"/>
            <w:tcMar>
              <w:top w:type="dxa" w:w="110"/>
              <w:left w:type="dxa" w:w="160"/>
              <w:bottom w:type="dxa" w:w="110"/>
              <w:right w:type="dxa" w:w="160"/>
            </w:tcMar>
          </w:tcPr>
          <w:p>
            <w:pPr>
              <w:jc w:val="left"/>
            </w:pPr>
            <w:r>
              <w:rPr>
                <w:rFonts w:ascii="Calibri" w:cs="Calibri" w:eastAsia="Calibri" w:hAnsi="Calibri"/>
                <w:b/>
                <w:bCs/>
                <w:i w:val="false"/>
                <w:iCs w:val="false"/>
                <w:color w:val="FFFFFF"/>
                <w:sz w:val="19"/>
                <w:szCs w:val="19"/>
              </w:rPr>
              <w:t xml:space="preserve">ARR (est.)</w:t>
            </w:r>
          </w:p>
        </w:tc>
      </w:tr>
      <w:tr>
        <w:tc>
          <w:tcPr>
            <w:tcW w:type="dxa" w:w="20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Research &amp; validation</w:t>
            </w:r>
          </w:p>
        </w:tc>
        <w:tc>
          <w:tcPr>
            <w:tcW w:type="dxa" w:w="20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Now — 12 months</w:t>
            </w:r>
          </w:p>
        </w:tc>
        <w:tc>
          <w:tcPr>
            <w:tcW w:type="dxa" w:w="24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20–50 test users (IIT Kanpur + 1–2 clubs)</w:t>
            </w:r>
          </w:p>
        </w:tc>
        <w:tc>
          <w:tcPr>
            <w:tcW w:type="dxa" w:w="188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None</w:t>
            </w:r>
          </w:p>
        </w:tc>
        <w:tc>
          <w:tcPr>
            <w:tcW w:type="dxa" w:w="18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Pre-revenue</w:t>
            </w:r>
          </w:p>
        </w:tc>
      </w:tr>
      <w:tr>
        <w:tc>
          <w:tcPr>
            <w:tcW w:type="dxa" w:w="20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Early product</w:t>
            </w:r>
          </w:p>
        </w:tc>
        <w:tc>
          <w:tcPr>
            <w:tcW w:type="dxa" w:w="20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12–24 months</w:t>
            </w:r>
          </w:p>
        </w:tc>
        <w:tc>
          <w:tcPr>
            <w:tcW w:type="dxa" w:w="24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100–300 players, 3–5 academies</w:t>
            </w:r>
          </w:p>
        </w:tc>
        <w:tc>
          <w:tcPr>
            <w:tcW w:type="dxa" w:w="188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Limited trials</w:t>
            </w:r>
          </w:p>
        </w:tc>
        <w:tc>
          <w:tcPr>
            <w:tcW w:type="dxa" w:w="18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~₹10–20L (~$15–25K)</w:t>
            </w:r>
          </w:p>
        </w:tc>
      </w:tr>
      <w:tr>
        <w:tc>
          <w:tcPr>
            <w:tcW w:type="dxa" w:w="20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Growth phase</w:t>
            </w:r>
          </w:p>
        </w:tc>
        <w:tc>
          <w:tcPr>
            <w:tcW w:type="dxa" w:w="20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2–4 years</w:t>
            </w:r>
          </w:p>
        </w:tc>
        <w:tc>
          <w:tcPr>
            <w:tcW w:type="dxa" w:w="24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2,000–5,000 players, 30–50 academies</w:t>
            </w:r>
          </w:p>
        </w:tc>
        <w:tc>
          <w:tcPr>
            <w:tcW w:type="dxa" w:w="188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UK, Egypt, Australia</w:t>
            </w:r>
          </w:p>
        </w:tc>
        <w:tc>
          <w:tcPr>
            <w:tcW w:type="dxa" w:w="18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~$200–500K</w:t>
            </w:r>
          </w:p>
        </w:tc>
      </w:tr>
      <w:tr>
        <w:tc>
          <w:tcPr>
            <w:tcW w:type="dxa" w:w="20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Scaled platform</w:t>
            </w:r>
          </w:p>
        </w:tc>
        <w:tc>
          <w:tcPr>
            <w:tcW w:type="dxa" w:w="20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4–6 years</w:t>
            </w:r>
          </w:p>
        </w:tc>
        <w:tc>
          <w:tcPr>
            <w:tcW w:type="dxa" w:w="24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10,000+ players, 100+ academies</w:t>
            </w:r>
          </w:p>
        </w:tc>
        <w:tc>
          <w:tcPr>
            <w:tcW w:type="dxa" w:w="188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Multi-country</w:t>
            </w:r>
          </w:p>
        </w:tc>
        <w:tc>
          <w:tcPr>
            <w:tcW w:type="dxa" w:w="18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~$1–2.5M</w:t>
            </w:r>
          </w:p>
        </w:tc>
      </w:tr>
    </w:tbl>
    <w:p>
      <w:pPr>
        <w:spacing w:before="0" w:after="0"/>
      </w:pPr>
      <w:r>
        <w:rPr>
          <w:sz w:val="14"/>
          <w:szCs w:val="14"/>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ED6F1" w:sz="3"/>
              <w:left w:val="single" w:color="2E75B6" w:sz="18"/>
              <w:bottom w:val="single" w:color="AED6F1" w:sz="3"/>
              <w:right w:val="single" w:color="AED6F1" w:sz="3"/>
            </w:tcBorders>
            <w:shd w:fill="E8F4FD" w:val="clear"/>
            <w:tcMar>
              <w:top w:type="dxa" w:w="140"/>
              <w:left w:type="dxa" w:w="240"/>
              <w:bottom w:type="dxa" w:w="140"/>
              <w:right w:type="dxa" w:w="200"/>
            </w:tcMar>
          </w:tcPr>
          <w:p>
            <w:pPr>
              <w:spacing w:before="0" w:after="60"/>
            </w:pPr>
            <w:r>
              <w:rPr>
                <w:rFonts w:ascii="Calibri" w:cs="Calibri" w:eastAsia="Calibri" w:hAnsi="Calibri"/>
                <w:b/>
                <w:bCs/>
                <w:color w:val="1F3864"/>
                <w:sz w:val="20"/>
                <w:szCs w:val="20"/>
              </w:rPr>
              <w:t xml:space="preserve">The 2028 Olympics Timing Opportunity</w:t>
            </w:r>
          </w:p>
          <w:p>
            <w:pPr>
              <w:spacing w:before="0" w:after="0"/>
            </w:pPr>
            <w:r>
              <w:rPr>
                <w:rFonts w:ascii="Calibri" w:cs="Calibri" w:eastAsia="Calibri" w:hAnsi="Calibri"/>
                <w:color w:val="2C2C2C"/>
                <w:sz w:val="19"/>
                <w:szCs w:val="19"/>
              </w:rPr>
              <w:t xml:space="preserve">Every nation building toward LA 2028 is investing in squash infrastructure now. The pre-Olympic window of 2026–2028 creates organic demand for analytics tools. Even as a developing product, SquashVision is well-positioned to establish early presence in this window — building the user base and institutional relationships that compound as the sport grows.</w:t>
            </w:r>
          </w:p>
        </w:tc>
      </w:tr>
    </w:tbl>
    <w:p>
      <w:pPr>
        <w:spacing w:before="0" w:after="0"/>
      </w:pPr>
      <w:r>
        <w:rPr>
          <w:sz w:val="14"/>
          <w:szCs w:val="14"/>
        </w:rPr>
        <w:t xml:space="preserve"/>
      </w:r>
    </w:p>
    <w:p>
      <w:pPr>
        <w:pBdr>
          <w:bottom w:val="single" w:color="D0D3D4" w:sz="4" w:space="1"/>
        </w:pBdr>
        <w:spacing w:before="220" w:after="220"/>
      </w:pPr>
      <w:r>
        <w:t xml:space="preserve"/>
      </w:r>
    </w:p>
    <w:p>
      <w:pPr>
        <w:pStyle w:val="Heading1"/>
        <w:pBdr>
          <w:bottom w:val="single" w:color="2E75B6" w:sz="10" w:space="8"/>
        </w:pBdr>
        <w:spacing w:before="400" w:after="120"/>
      </w:pPr>
      <w:r>
        <w:rPr>
          <w:rFonts w:ascii="Calibri" w:cs="Calibri" w:eastAsia="Calibri" w:hAnsi="Calibri"/>
          <w:b/>
          <w:bCs/>
          <w:color w:val="1F3864"/>
          <w:sz w:val="38"/>
          <w:szCs w:val="38"/>
        </w:rPr>
        <w:t xml:space="preserve">02  |  Competitor Analysis</w:t>
      </w:r>
    </w:p>
    <w:p>
      <w:pPr>
        <w:pStyle w:val="Heading2"/>
        <w:spacing w:before="280" w:after="100"/>
      </w:pPr>
      <w:r>
        <w:rPr>
          <w:rFonts w:ascii="Calibri" w:cs="Calibri" w:eastAsia="Calibri" w:hAnsi="Calibri"/>
          <w:b/>
          <w:bCs/>
          <w:color w:val="2E75B6"/>
          <w:sz w:val="27"/>
          <w:szCs w:val="27"/>
        </w:rPr>
        <w:t xml:space="preserve">2.1  The Benchmark — SwingVision (Tennis)</w:t>
      </w:r>
    </w:p>
    <w:p>
      <w:pPr>
        <w:spacing w:before="60" w:after="80"/>
        <w:jc w:val="left"/>
      </w:pPr>
      <w:r>
        <w:rPr>
          <w:rFonts w:ascii="Calibri" w:cs="Calibri" w:eastAsia="Calibri" w:hAnsi="Calibri"/>
          <w:b w:val="false"/>
          <w:bCs w:val="false"/>
          <w:i w:val="false"/>
          <w:iCs w:val="false"/>
          <w:color w:val="2C2C2C"/>
          <w:sz w:val="20"/>
          <w:szCs w:val="20"/>
        </w:rPr>
        <w:t xml:space="preserve">Before examining squash-specific competitors, SwingVision must be understood as the financial and product benchmark. It is the proof point that a single-phone-camera racquet sports analytics product at approximately $180 per year is a real, scalable business.</w:t>
      </w:r>
    </w:p>
    <w:p>
      <w:pPr>
        <w:spacing w:before="0" w:after="0"/>
      </w:pPr>
      <w:r>
        <w:rPr>
          <w:sz w:val="14"/>
          <w:szCs w:val="14"/>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1F3864" w:sz="1"/>
              <w:left w:val="single" w:color="1F3864" w:sz="1"/>
              <w:bottom w:val="single" w:color="1F3864" w:sz="1"/>
              <w:right w:val="single" w:color="1F3864" w:sz="1"/>
            </w:tcBorders>
            <w:shd w:fill="1F3864" w:val="clear"/>
            <w:tcMar>
              <w:top w:type="dxa" w:w="110"/>
              <w:left w:type="dxa" w:w="160"/>
              <w:bottom w:type="dxa" w:w="110"/>
              <w:right w:type="dxa" w:w="160"/>
            </w:tcMar>
          </w:tcPr>
          <w:p>
            <w:pPr>
              <w:jc w:val="left"/>
            </w:pPr>
            <w:r>
              <w:rPr>
                <w:rFonts w:ascii="Calibri" w:cs="Calibri" w:eastAsia="Calibri" w:hAnsi="Calibri"/>
                <w:b/>
                <w:bCs/>
                <w:i w:val="false"/>
                <w:iCs w:val="false"/>
                <w:color w:val="FFFFFF"/>
                <w:sz w:val="19"/>
                <w:szCs w:val="19"/>
              </w:rPr>
              <w:t xml:space="preserve">Dimension</w:t>
            </w:r>
          </w:p>
        </w:tc>
        <w:tc>
          <w:tcPr>
            <w:tcW w:type="dxa" w:w="7280"/>
            <w:tcBorders>
              <w:top w:val="single" w:color="1F3864" w:sz="1"/>
              <w:left w:val="single" w:color="1F3864" w:sz="1"/>
              <w:bottom w:val="single" w:color="1F3864" w:sz="1"/>
              <w:right w:val="single" w:color="1F3864" w:sz="1"/>
            </w:tcBorders>
            <w:shd w:fill="1F3864" w:val="clear"/>
            <w:tcMar>
              <w:top w:type="dxa" w:w="110"/>
              <w:left w:type="dxa" w:w="160"/>
              <w:bottom w:type="dxa" w:w="110"/>
              <w:right w:type="dxa" w:w="160"/>
            </w:tcMar>
          </w:tcPr>
          <w:p>
            <w:pPr>
              <w:jc w:val="left"/>
            </w:pPr>
            <w:r>
              <w:rPr>
                <w:rFonts w:ascii="Calibri" w:cs="Calibri" w:eastAsia="Calibri" w:hAnsi="Calibri"/>
                <w:b/>
                <w:bCs/>
                <w:i w:val="false"/>
                <w:iCs w:val="false"/>
                <w:color w:val="FFFFFF"/>
                <w:sz w:val="19"/>
                <w:szCs w:val="19"/>
              </w:rPr>
              <w:t xml:space="preserve">Detail</w:t>
            </w:r>
          </w:p>
        </w:tc>
      </w:tr>
      <w:tr>
        <w:tc>
          <w:tcPr>
            <w:tcW w:type="dxa" w:w="28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Sport</w:t>
            </w:r>
          </w:p>
        </w:tc>
        <w:tc>
          <w:tcPr>
            <w:tcW w:type="dxa" w:w="728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Tennis and Pickleball</w:t>
            </w:r>
          </w:p>
        </w:tc>
      </w:tr>
      <w:tr>
        <w:tc>
          <w:tcPr>
            <w:tcW w:type="dxa" w:w="28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Core value proposition</w:t>
            </w:r>
          </w:p>
        </w:tc>
        <w:tc>
          <w:tcPr>
            <w:tcW w:type="dxa" w:w="728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Single iPhone or iPad camera. Automated scoring, statistics, line calling, shot heatmaps, and highlights — no additional hardware required.</w:t>
            </w:r>
          </w:p>
        </w:tc>
      </w:tr>
      <w:tr>
        <w:tc>
          <w:tcPr>
            <w:tcW w:type="dxa" w:w="28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Pricing</w:t>
            </w:r>
          </w:p>
        </w:tc>
        <w:tc>
          <w:tcPr>
            <w:tcW w:type="dxa" w:w="728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$179.99 per year ($14.99 per month). 30-day free trial. Official app of Tennis Australia, Lawn Tennis Association (UK), and the Intercollegiate Tennis Association.</w:t>
            </w:r>
          </w:p>
        </w:tc>
      </w:tr>
      <w:tr>
        <w:tc>
          <w:tcPr>
            <w:tcW w:type="dxa" w:w="28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FY2024 Revenue</w:t>
            </w:r>
          </w:p>
        </w:tc>
        <w:tc>
          <w:tcPr>
            <w:tcW w:type="dxa" w:w="728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$2,746,593 — disclosed via Wefunder fundraise, analysed by KingsCrowd (2025).</w:t>
            </w:r>
          </w:p>
        </w:tc>
      </w:tr>
      <w:tr>
        <w:tc>
          <w:tcPr>
            <w:tcW w:type="dxa" w:w="28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Paying subscribers</w:t>
            </w:r>
          </w:p>
        </w:tc>
        <w:tc>
          <w:tcPr>
            <w:tcW w:type="dxa" w:w="728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20,000+ as of end-2024. Revenue grew from approximately $1M in 2022 to $2.74M in 2024.</w:t>
            </w:r>
          </w:p>
        </w:tc>
      </w:tr>
      <w:tr>
        <w:tc>
          <w:tcPr>
            <w:tcW w:type="dxa" w:w="28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Notable backers</w:t>
            </w:r>
          </w:p>
        </w:tc>
        <w:tc>
          <w:tcPr>
            <w:tcW w:type="dxa" w:w="728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Andy Roddick, Lindsay Davenport. Featured in Apple's iPad Keynote 2021.</w:t>
            </w:r>
          </w:p>
        </w:tc>
      </w:tr>
      <w:tr>
        <w:tc>
          <w:tcPr>
            <w:tcW w:type="dxa" w:w="28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Critical limitation</w:t>
            </w:r>
          </w:p>
        </w:tc>
        <w:tc>
          <w:tcPr>
            <w:tcW w:type="dxa" w:w="728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iOS only — no Android support. Tennis and pickleball only. Has not entered the squash market.</w:t>
            </w:r>
          </w:p>
        </w:tc>
      </w:tr>
    </w:tbl>
    <w:p>
      <w:pPr>
        <w:spacing w:before="0" w:after="0"/>
      </w:pPr>
      <w:r>
        <w:rPr>
          <w:sz w:val="14"/>
          <w:szCs w:val="14"/>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ED6F1" w:sz="3"/>
              <w:left w:val="single" w:color="2E75B6" w:sz="18"/>
              <w:bottom w:val="single" w:color="AED6F1" w:sz="3"/>
              <w:right w:val="single" w:color="AED6F1" w:sz="3"/>
            </w:tcBorders>
            <w:shd w:fill="E8F4FD" w:val="clear"/>
            <w:tcMar>
              <w:top w:type="dxa" w:w="140"/>
              <w:left w:type="dxa" w:w="240"/>
              <w:bottom w:type="dxa" w:w="140"/>
              <w:right w:type="dxa" w:w="200"/>
            </w:tcMar>
          </w:tcPr>
          <w:p>
            <w:pPr>
              <w:spacing w:before="0" w:after="60"/>
            </w:pPr>
            <w:r>
              <w:rPr>
                <w:rFonts w:ascii="Calibri" w:cs="Calibri" w:eastAsia="Calibri" w:hAnsi="Calibri"/>
                <w:b/>
                <w:bCs/>
                <w:color w:val="1F3864"/>
                <w:sz w:val="20"/>
                <w:szCs w:val="20"/>
              </w:rPr>
              <w:t xml:space="preserve">What SwingVision Proves</w:t>
            </w:r>
          </w:p>
          <w:p>
            <w:pPr>
              <w:spacing w:before="0" w:after="0"/>
            </w:pPr>
            <w:r>
              <w:rPr>
                <w:rFonts w:ascii="Calibri" w:cs="Calibri" w:eastAsia="Calibri" w:hAnsi="Calibri"/>
                <w:color w:val="2C2C2C"/>
                <w:sz w:val="19"/>
                <w:szCs w:val="19"/>
              </w:rPr>
              <w:t xml:space="preserve">A single-phone racquet sports analytics product at ~$180/year can reach 20,000 paying users and $2.74M ARR — built over several years, not overnight. Tennis has 25 million US players alone; squash has 20 million players globally. The market size is comparable when built for a global audience. The business model is validated. The squash equivalent does not yet exist.</w:t>
            </w:r>
          </w:p>
        </w:tc>
      </w:tr>
    </w:tbl>
    <w:p>
      <w:pPr>
        <w:spacing w:before="0" w:after="0"/>
      </w:pPr>
      <w:r>
        <w:rPr>
          <w:sz w:val="14"/>
          <w:szCs w:val="14"/>
        </w:rPr>
        <w:t xml:space="preserve"/>
      </w:r>
    </w:p>
    <w:p>
      <w:pPr>
        <w:pStyle w:val="Heading2"/>
        <w:spacing w:before="280" w:after="100"/>
      </w:pPr>
      <w:r>
        <w:rPr>
          <w:rFonts w:ascii="Calibri" w:cs="Calibri" w:eastAsia="Calibri" w:hAnsi="Calibri"/>
          <w:b/>
          <w:bCs/>
          <w:color w:val="2E75B6"/>
          <w:sz w:val="27"/>
          <w:szCs w:val="27"/>
        </w:rPr>
        <w:t xml:space="preserve">2.2  Direct Squash Analytics Competitors</w:t>
      </w:r>
    </w:p>
    <w:p>
      <w:pPr>
        <w:spacing w:before="200" w:after="60"/>
      </w:pPr>
      <w:r>
        <w:rPr>
          <w:rFonts w:ascii="Calibri" w:cs="Calibri" w:eastAsia="Calibri" w:hAnsi="Calibri"/>
          <w:b/>
          <w:bCs/>
          <w:color w:val="1A5276"/>
          <w:sz w:val="21"/>
          <w:szCs w:val="21"/>
        </w:rPr>
        <w:t xml:space="preserve">SmartSquash AI</w:t>
      </w:r>
    </w:p>
    <w:p>
      <w:pPr>
        <w:spacing w:before="60" w:after="80"/>
        <w:jc w:val="left"/>
      </w:pPr>
      <w:r>
        <w:rPr>
          <w:rFonts w:ascii="Calibri" w:cs="Calibri" w:eastAsia="Calibri" w:hAnsi="Calibri"/>
          <w:b w:val="false"/>
          <w:bCs w:val="false"/>
          <w:i w:val="false"/>
          <w:iCs w:val="false"/>
          <w:color w:val="2C2C2C"/>
          <w:sz w:val="20"/>
          <w:szCs w:val="20"/>
        </w:rPr>
        <w:t xml:space="preserve">SmartSquash AI (smartsquash.ai) is the most direct competitor — the only product explicitly positioned as AI-powered squash analytics. The platform was researched via a live website review conducted in March 2026.</w:t>
      </w:r>
    </w:p>
    <w:p>
      <w:pPr>
        <w:spacing w:before="0" w:after="0"/>
      </w:pPr>
      <w:r>
        <w:rPr>
          <w:sz w:val="14"/>
          <w:szCs w:val="14"/>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1F3864" w:sz="1"/>
              <w:left w:val="single" w:color="1F3864" w:sz="1"/>
              <w:bottom w:val="single" w:color="1F3864" w:sz="1"/>
              <w:right w:val="single" w:color="1F3864" w:sz="1"/>
            </w:tcBorders>
            <w:shd w:fill="1F3864" w:val="clear"/>
            <w:tcMar>
              <w:top w:type="dxa" w:w="110"/>
              <w:left w:type="dxa" w:w="160"/>
              <w:bottom w:type="dxa" w:w="110"/>
              <w:right w:type="dxa" w:w="160"/>
            </w:tcMar>
          </w:tcPr>
          <w:p>
            <w:pPr>
              <w:jc w:val="left"/>
            </w:pPr>
            <w:r>
              <w:rPr>
                <w:rFonts w:ascii="Calibri" w:cs="Calibri" w:eastAsia="Calibri" w:hAnsi="Calibri"/>
                <w:b/>
                <w:bCs/>
                <w:i w:val="false"/>
                <w:iCs w:val="false"/>
                <w:color w:val="FFFFFF"/>
                <w:sz w:val="19"/>
                <w:szCs w:val="19"/>
              </w:rPr>
              <w:t xml:space="preserve">Dimension</w:t>
            </w:r>
          </w:p>
        </w:tc>
        <w:tc>
          <w:tcPr>
            <w:tcW w:type="dxa" w:w="7280"/>
            <w:tcBorders>
              <w:top w:val="single" w:color="1F3864" w:sz="1"/>
              <w:left w:val="single" w:color="1F3864" w:sz="1"/>
              <w:bottom w:val="single" w:color="1F3864" w:sz="1"/>
              <w:right w:val="single" w:color="1F3864" w:sz="1"/>
            </w:tcBorders>
            <w:shd w:fill="1F3864" w:val="clear"/>
            <w:tcMar>
              <w:top w:type="dxa" w:w="110"/>
              <w:left w:type="dxa" w:w="160"/>
              <w:bottom w:type="dxa" w:w="110"/>
              <w:right w:type="dxa" w:w="160"/>
            </w:tcMar>
          </w:tcPr>
          <w:p>
            <w:pPr>
              <w:jc w:val="left"/>
            </w:pPr>
            <w:r>
              <w:rPr>
                <w:rFonts w:ascii="Calibri" w:cs="Calibri" w:eastAsia="Calibri" w:hAnsi="Calibri"/>
                <w:b/>
                <w:bCs/>
                <w:i w:val="false"/>
                <w:iCs w:val="false"/>
                <w:color w:val="FFFFFF"/>
                <w:sz w:val="19"/>
                <w:szCs w:val="19"/>
              </w:rPr>
              <w:t xml:space="preserve">Detail</w:t>
            </w:r>
          </w:p>
        </w:tc>
      </w:tr>
      <w:tr>
        <w:tc>
          <w:tcPr>
            <w:tcW w:type="dxa" w:w="28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Current status</w:t>
            </w:r>
          </w:p>
        </w:tc>
        <w:tc>
          <w:tcPr>
            <w:tcW w:type="dxa" w:w="728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Live product with a working demo platform. Recently launched — exact date not publicly disclosed.</w:t>
            </w:r>
          </w:p>
        </w:tc>
      </w:tr>
      <w:tr>
        <w:tc>
          <w:tcPr>
            <w:tcW w:type="dxa" w:w="28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Confirmed features</w:t>
            </w:r>
          </w:p>
        </w:tc>
        <w:tc>
          <w:tcPr>
            <w:tcW w:type="dxa" w:w="728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Player heatmaps, T-control statistics, average movement speed, total distance covered, court region usage, and spray charts. Shot analysis feature launched recently.</w:t>
            </w:r>
          </w:p>
        </w:tc>
      </w:tr>
      <w:tr>
        <w:tc>
          <w:tcPr>
            <w:tcW w:type="dxa" w:w="28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Features marked 'coming soon'</w:t>
            </w:r>
          </w:p>
        </w:tc>
        <w:tc>
          <w:tcPr>
            <w:tcW w:type="dxa" w:w="728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AI assistant chatbot for match analysis — listed as 'Coming Soon' on the live product site as of March 2026.</w:t>
            </w:r>
          </w:p>
        </w:tc>
      </w:tr>
      <w:tr>
        <w:tc>
          <w:tcPr>
            <w:tcW w:type="dxa" w:w="28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Pricing</w:t>
            </w:r>
          </w:p>
        </w:tc>
        <w:tc>
          <w:tcPr>
            <w:tcW w:type="dxa" w:w="728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Currently free with the message 'Play, Analyze, Improve — For Free, Limited Time!' No paid tier has been publicly announced.</w:t>
            </w:r>
          </w:p>
        </w:tc>
      </w:tr>
      <w:tr>
        <w:tc>
          <w:tcPr>
            <w:tcW w:type="dxa" w:w="28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Funding and revenue</w:t>
            </w:r>
          </w:p>
        </w:tc>
        <w:tc>
          <w:tcPr>
            <w:tcW w:type="dxa" w:w="728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No disclosed funding rounds or revenue. No institutional backers identified. Very early stage.</w:t>
            </w:r>
          </w:p>
        </w:tc>
      </w:tr>
      <w:tr>
        <w:tc>
          <w:tcPr>
            <w:tcW w:type="dxa" w:w="28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India presence</w:t>
            </w:r>
          </w:p>
        </w:tc>
        <w:tc>
          <w:tcPr>
            <w:tcW w:type="dxa" w:w="728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None identified.</w:t>
            </w:r>
          </w:p>
        </w:tc>
      </w:tr>
      <w:tr>
        <w:tc>
          <w:tcPr>
            <w:tcW w:type="dxa" w:w="28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Key weakness</w:t>
            </w:r>
          </w:p>
        </w:tc>
        <w:tc>
          <w:tcPr>
            <w:tcW w:type="dxa" w:w="728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No pricing model established. Chatbot feature is not live. No India market presence. No institutional partnerships. Automation depth of the video pipeline is unconfirmed.</w:t>
            </w:r>
          </w:p>
        </w:tc>
      </w:tr>
    </w:tbl>
    <w:p>
      <w:pPr>
        <w:spacing w:before="0" w:after="0"/>
      </w:pPr>
      <w:r>
        <w:rPr>
          <w:sz w:val="14"/>
          <w:szCs w:val="14"/>
        </w:rPr>
        <w:t xml:space="preserve"/>
      </w:r>
    </w:p>
    <w:p>
      <w:pPr>
        <w:spacing w:before="200" w:after="60"/>
      </w:pPr>
      <w:r>
        <w:rPr>
          <w:rFonts w:ascii="Calibri" w:cs="Calibri" w:eastAsia="Calibri" w:hAnsi="Calibri"/>
          <w:b/>
          <w:bCs/>
          <w:color w:val="1A5276"/>
          <w:sz w:val="21"/>
          <w:szCs w:val="21"/>
        </w:rPr>
        <w:t xml:space="preserve">RallyVision</w:t>
      </w:r>
    </w:p>
    <w:p>
      <w:pPr>
        <w:spacing w:before="60" w:after="80"/>
        <w:jc w:val="left"/>
      </w:pPr>
      <w:r>
        <w:rPr>
          <w:rFonts w:ascii="Calibri" w:cs="Calibri" w:eastAsia="Calibri" w:hAnsi="Calibri"/>
          <w:b w:val="false"/>
          <w:bCs w:val="false"/>
          <w:i w:val="false"/>
          <w:iCs w:val="false"/>
          <w:color w:val="2C2C2C"/>
          <w:sz w:val="20"/>
          <w:szCs w:val="20"/>
        </w:rPr>
        <w:t xml:space="preserve">RallyVision is a squash video analysis platform primarily aimed at coaches. It has been in the space longer than SmartSquash AI but is less technically ambitious.</w:t>
      </w:r>
    </w:p>
    <w:p>
      <w:pPr>
        <w:spacing w:before="0" w:after="0"/>
      </w:pPr>
      <w:r>
        <w:rPr>
          <w:sz w:val="14"/>
          <w:szCs w:val="14"/>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1F3864" w:sz="1"/>
              <w:left w:val="single" w:color="1F3864" w:sz="1"/>
              <w:bottom w:val="single" w:color="1F3864" w:sz="1"/>
              <w:right w:val="single" w:color="1F3864" w:sz="1"/>
            </w:tcBorders>
            <w:shd w:fill="1F3864" w:val="clear"/>
            <w:tcMar>
              <w:top w:type="dxa" w:w="110"/>
              <w:left w:type="dxa" w:w="160"/>
              <w:bottom w:type="dxa" w:w="110"/>
              <w:right w:type="dxa" w:w="160"/>
            </w:tcMar>
          </w:tcPr>
          <w:p>
            <w:pPr>
              <w:jc w:val="left"/>
            </w:pPr>
            <w:r>
              <w:rPr>
                <w:rFonts w:ascii="Calibri" w:cs="Calibri" w:eastAsia="Calibri" w:hAnsi="Calibri"/>
                <w:b/>
                <w:bCs/>
                <w:i w:val="false"/>
                <w:iCs w:val="false"/>
                <w:color w:val="FFFFFF"/>
                <w:sz w:val="19"/>
                <w:szCs w:val="19"/>
              </w:rPr>
              <w:t xml:space="preserve">Dimension</w:t>
            </w:r>
          </w:p>
        </w:tc>
        <w:tc>
          <w:tcPr>
            <w:tcW w:type="dxa" w:w="7280"/>
            <w:tcBorders>
              <w:top w:val="single" w:color="1F3864" w:sz="1"/>
              <w:left w:val="single" w:color="1F3864" w:sz="1"/>
              <w:bottom w:val="single" w:color="1F3864" w:sz="1"/>
              <w:right w:val="single" w:color="1F3864" w:sz="1"/>
            </w:tcBorders>
            <w:shd w:fill="1F3864" w:val="clear"/>
            <w:tcMar>
              <w:top w:type="dxa" w:w="110"/>
              <w:left w:type="dxa" w:w="160"/>
              <w:bottom w:type="dxa" w:w="110"/>
              <w:right w:type="dxa" w:w="160"/>
            </w:tcMar>
          </w:tcPr>
          <w:p>
            <w:pPr>
              <w:jc w:val="left"/>
            </w:pPr>
            <w:r>
              <w:rPr>
                <w:rFonts w:ascii="Calibri" w:cs="Calibri" w:eastAsia="Calibri" w:hAnsi="Calibri"/>
                <w:b/>
                <w:bCs/>
                <w:i w:val="false"/>
                <w:iCs w:val="false"/>
                <w:color w:val="FFFFFF"/>
                <w:sz w:val="19"/>
                <w:szCs w:val="19"/>
              </w:rPr>
              <w:t xml:space="preserve">Detail</w:t>
            </w:r>
          </w:p>
        </w:tc>
      </w:tr>
      <w:tr>
        <w:tc>
          <w:tcPr>
            <w:tcW w:type="dxa" w:w="28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Current status</w:t>
            </w:r>
          </w:p>
        </w:tc>
        <w:tc>
          <w:tcPr>
            <w:tcW w:type="dxa" w:w="728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Live product. Focused on coach-centric video review workflows for squash.</w:t>
            </w:r>
          </w:p>
        </w:tc>
      </w:tr>
      <w:tr>
        <w:tc>
          <w:tcPr>
            <w:tcW w:type="dxa" w:w="28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Automation level</w:t>
            </w:r>
          </w:p>
        </w:tc>
        <w:tc>
          <w:tcPr>
            <w:tcW w:type="dxa" w:w="728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Low. Requires manual coach tagging of rallies and match events. No confirmed AI-automated player tracking pipeline.</w:t>
            </w:r>
          </w:p>
        </w:tc>
      </w:tr>
      <w:tr>
        <w:tc>
          <w:tcPr>
            <w:tcW w:type="dxa" w:w="28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Target user</w:t>
            </w:r>
          </w:p>
        </w:tc>
        <w:tc>
          <w:tcPr>
            <w:tcW w:type="dxa" w:w="728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Coaches and academies. No individual player-facing product.</w:t>
            </w:r>
          </w:p>
        </w:tc>
      </w:tr>
      <w:tr>
        <w:tc>
          <w:tcPr>
            <w:tcW w:type="dxa" w:w="28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Pricing</w:t>
            </w:r>
          </w:p>
        </w:tc>
        <w:tc>
          <w:tcPr>
            <w:tcW w:type="dxa" w:w="728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Not publicly disclosed.</w:t>
            </w:r>
          </w:p>
        </w:tc>
      </w:tr>
      <w:tr>
        <w:tc>
          <w:tcPr>
            <w:tcW w:type="dxa" w:w="28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Key weakness</w:t>
            </w:r>
          </w:p>
        </w:tc>
        <w:tc>
          <w:tcPr>
            <w:tcW w:type="dxa" w:w="728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The manual tagging workflow is its fundamental limitation. Time cost to coaches is high and the product cannot scale without replacing manual work with automation. The absence of an individual player product limits the addressable market significantly.</w:t>
            </w:r>
          </w:p>
        </w:tc>
      </w:tr>
    </w:tbl>
    <w:p>
      <w:pPr>
        <w:spacing w:before="0" w:after="0"/>
      </w:pPr>
      <w:r>
        <w:rPr>
          <w:sz w:val="14"/>
          <w:szCs w:val="14"/>
        </w:rPr>
        <w:t xml:space="preserve"/>
      </w:r>
    </w:p>
    <w:p>
      <w:pPr>
        <w:spacing w:before="200" w:after="60"/>
      </w:pPr>
      <w:r>
        <w:rPr>
          <w:rFonts w:ascii="Calibri" w:cs="Calibri" w:eastAsia="Calibri" w:hAnsi="Calibri"/>
          <w:b/>
          <w:bCs/>
          <w:color w:val="1A5276"/>
          <w:sz w:val="21"/>
          <w:szCs w:val="21"/>
        </w:rPr>
        <w:t xml:space="preserve">Hudl</w:t>
      </w:r>
    </w:p>
    <w:p>
      <w:pPr>
        <w:spacing w:before="60" w:after="80"/>
        <w:jc w:val="left"/>
      </w:pPr>
      <w:r>
        <w:rPr>
          <w:rFonts w:ascii="Calibri" w:cs="Calibri" w:eastAsia="Calibri" w:hAnsi="Calibri"/>
          <w:b w:val="false"/>
          <w:bCs w:val="false"/>
          <w:i w:val="false"/>
          <w:iCs w:val="false"/>
          <w:color w:val="2C2C2C"/>
          <w:sz w:val="20"/>
          <w:szCs w:val="20"/>
        </w:rPr>
        <w:t xml:space="preserve">Hudl is the dominant sports video analysis platform globally, used across professional and collegiate team sports. It is not squash-specific and represents the general category standard for large-scale video analysis.</w:t>
      </w:r>
    </w:p>
    <w:p>
      <w:pPr>
        <w:spacing w:before="0" w:after="0"/>
      </w:pPr>
      <w:r>
        <w:rPr>
          <w:sz w:val="14"/>
          <w:szCs w:val="14"/>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1F3864" w:sz="1"/>
              <w:left w:val="single" w:color="1F3864" w:sz="1"/>
              <w:bottom w:val="single" w:color="1F3864" w:sz="1"/>
              <w:right w:val="single" w:color="1F3864" w:sz="1"/>
            </w:tcBorders>
            <w:shd w:fill="1F3864" w:val="clear"/>
            <w:tcMar>
              <w:top w:type="dxa" w:w="110"/>
              <w:left w:type="dxa" w:w="160"/>
              <w:bottom w:type="dxa" w:w="110"/>
              <w:right w:type="dxa" w:w="160"/>
            </w:tcMar>
          </w:tcPr>
          <w:p>
            <w:pPr>
              <w:jc w:val="left"/>
            </w:pPr>
            <w:r>
              <w:rPr>
                <w:rFonts w:ascii="Calibri" w:cs="Calibri" w:eastAsia="Calibri" w:hAnsi="Calibri"/>
                <w:b/>
                <w:bCs/>
                <w:i w:val="false"/>
                <w:iCs w:val="false"/>
                <w:color w:val="FFFFFF"/>
                <w:sz w:val="19"/>
                <w:szCs w:val="19"/>
              </w:rPr>
              <w:t xml:space="preserve">Dimension</w:t>
            </w:r>
          </w:p>
        </w:tc>
        <w:tc>
          <w:tcPr>
            <w:tcW w:type="dxa" w:w="7280"/>
            <w:tcBorders>
              <w:top w:val="single" w:color="1F3864" w:sz="1"/>
              <w:left w:val="single" w:color="1F3864" w:sz="1"/>
              <w:bottom w:val="single" w:color="1F3864" w:sz="1"/>
              <w:right w:val="single" w:color="1F3864" w:sz="1"/>
            </w:tcBorders>
            <w:shd w:fill="1F3864" w:val="clear"/>
            <w:tcMar>
              <w:top w:type="dxa" w:w="110"/>
              <w:left w:type="dxa" w:w="160"/>
              <w:bottom w:type="dxa" w:w="110"/>
              <w:right w:type="dxa" w:w="160"/>
            </w:tcMar>
          </w:tcPr>
          <w:p>
            <w:pPr>
              <w:jc w:val="left"/>
            </w:pPr>
            <w:r>
              <w:rPr>
                <w:rFonts w:ascii="Calibri" w:cs="Calibri" w:eastAsia="Calibri" w:hAnsi="Calibri"/>
                <w:b/>
                <w:bCs/>
                <w:i w:val="false"/>
                <w:iCs w:val="false"/>
                <w:color w:val="FFFFFF"/>
                <w:sz w:val="19"/>
                <w:szCs w:val="19"/>
              </w:rPr>
              <w:t xml:space="preserve">Detail</w:t>
            </w:r>
          </w:p>
        </w:tc>
      </w:tr>
      <w:tr>
        <w:tc>
          <w:tcPr>
            <w:tcW w:type="dxa" w:w="28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Sports covered</w:t>
            </w:r>
          </w:p>
        </w:tc>
        <w:tc>
          <w:tcPr>
            <w:tcW w:type="dxa" w:w="728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Football (soccer), American football, basketball, baseball, volleyball. Squash is not supported.</w:t>
            </w:r>
          </w:p>
        </w:tc>
      </w:tr>
      <w:tr>
        <w:tc>
          <w:tcPr>
            <w:tcW w:type="dxa" w:w="28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Pricing</w:t>
            </w:r>
          </w:p>
        </w:tc>
        <w:tc>
          <w:tcPr>
            <w:tcW w:type="dxa" w:w="728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$1,000–$5,000+ per year for team plans. Not accessible to individual players.</w:t>
            </w:r>
          </w:p>
        </w:tc>
      </w:tr>
      <w:tr>
        <w:tc>
          <w:tcPr>
            <w:tcW w:type="dxa" w:w="28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AI capabilities</w:t>
            </w:r>
          </w:p>
        </w:tc>
        <w:tc>
          <w:tcPr>
            <w:tcW w:type="dxa" w:w="728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Video tagging, clip libraries, and automated highlights for supported sports. No squash-specific court understanding, T-control metrics, or rally statistics.</w:t>
            </w:r>
          </w:p>
        </w:tc>
      </w:tr>
      <w:tr>
        <w:tc>
          <w:tcPr>
            <w:tcW w:type="dxa" w:w="28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Key weakness for squash</w:t>
            </w:r>
          </w:p>
        </w:tc>
        <w:tc>
          <w:tcPr>
            <w:tcW w:type="dxa" w:w="728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Price point eliminates individual players entirely. Platform complexity is designed for team sport coaching staffs. Zero squash-specific functionality.</w:t>
            </w:r>
          </w:p>
        </w:tc>
      </w:tr>
    </w:tbl>
    <w:p>
      <w:pPr>
        <w:spacing w:before="0" w:after="0"/>
      </w:pPr>
      <w:r>
        <w:rPr>
          <w:sz w:val="14"/>
          <w:szCs w:val="14"/>
        </w:rPr>
        <w:t xml:space="preserve"/>
      </w:r>
    </w:p>
    <w:p>
      <w:pPr>
        <w:spacing w:before="200" w:after="60"/>
      </w:pPr>
      <w:r>
        <w:rPr>
          <w:rFonts w:ascii="Calibri" w:cs="Calibri" w:eastAsia="Calibri" w:hAnsi="Calibri"/>
          <w:b/>
          <w:bCs/>
          <w:color w:val="1A5276"/>
          <w:sz w:val="21"/>
          <w:szCs w:val="21"/>
        </w:rPr>
        <w:t xml:space="preserve">Pixellot</w:t>
      </w:r>
    </w:p>
    <w:p>
      <w:pPr>
        <w:spacing w:before="60" w:after="80"/>
        <w:jc w:val="left"/>
      </w:pPr>
      <w:r>
        <w:rPr>
          <w:rFonts w:ascii="Calibri" w:cs="Calibri" w:eastAsia="Calibri" w:hAnsi="Calibri"/>
          <w:b w:val="false"/>
          <w:bCs w:val="false"/>
          <w:i w:val="false"/>
          <w:iCs w:val="false"/>
          <w:color w:val="2C2C2C"/>
          <w:sz w:val="20"/>
          <w:szCs w:val="20"/>
        </w:rPr>
        <w:t xml:space="preserve">Pixellot provides automated filming and AI analysis using hardware cameras mounted at venues. It serves professional clubs and leagues and has been used at some squash tournaments for broadcast purposes.</w:t>
      </w:r>
    </w:p>
    <w:p>
      <w:pPr>
        <w:spacing w:before="0" w:after="0"/>
      </w:pPr>
      <w:r>
        <w:rPr>
          <w:sz w:val="14"/>
          <w:szCs w:val="14"/>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1F3864" w:sz="1"/>
              <w:left w:val="single" w:color="1F3864" w:sz="1"/>
              <w:bottom w:val="single" w:color="1F3864" w:sz="1"/>
              <w:right w:val="single" w:color="1F3864" w:sz="1"/>
            </w:tcBorders>
            <w:shd w:fill="1F3864" w:val="clear"/>
            <w:tcMar>
              <w:top w:type="dxa" w:w="110"/>
              <w:left w:type="dxa" w:w="160"/>
              <w:bottom w:type="dxa" w:w="110"/>
              <w:right w:type="dxa" w:w="160"/>
            </w:tcMar>
          </w:tcPr>
          <w:p>
            <w:pPr>
              <w:jc w:val="left"/>
            </w:pPr>
            <w:r>
              <w:rPr>
                <w:rFonts w:ascii="Calibri" w:cs="Calibri" w:eastAsia="Calibri" w:hAnsi="Calibri"/>
                <w:b/>
                <w:bCs/>
                <w:i w:val="false"/>
                <w:iCs w:val="false"/>
                <w:color w:val="FFFFFF"/>
                <w:sz w:val="19"/>
                <w:szCs w:val="19"/>
              </w:rPr>
              <w:t xml:space="preserve">Dimension</w:t>
            </w:r>
          </w:p>
        </w:tc>
        <w:tc>
          <w:tcPr>
            <w:tcW w:type="dxa" w:w="7280"/>
            <w:tcBorders>
              <w:top w:val="single" w:color="1F3864" w:sz="1"/>
              <w:left w:val="single" w:color="1F3864" w:sz="1"/>
              <w:bottom w:val="single" w:color="1F3864" w:sz="1"/>
              <w:right w:val="single" w:color="1F3864" w:sz="1"/>
            </w:tcBorders>
            <w:shd w:fill="1F3864" w:val="clear"/>
            <w:tcMar>
              <w:top w:type="dxa" w:w="110"/>
              <w:left w:type="dxa" w:w="160"/>
              <w:bottom w:type="dxa" w:w="110"/>
              <w:right w:type="dxa" w:w="160"/>
            </w:tcMar>
          </w:tcPr>
          <w:p>
            <w:pPr>
              <w:jc w:val="left"/>
            </w:pPr>
            <w:r>
              <w:rPr>
                <w:rFonts w:ascii="Calibri" w:cs="Calibri" w:eastAsia="Calibri" w:hAnsi="Calibri"/>
                <w:b/>
                <w:bCs/>
                <w:i w:val="false"/>
                <w:iCs w:val="false"/>
                <w:color w:val="FFFFFF"/>
                <w:sz w:val="19"/>
                <w:szCs w:val="19"/>
              </w:rPr>
              <w:t xml:space="preserve">Detail</w:t>
            </w:r>
          </w:p>
        </w:tc>
      </w:tr>
      <w:tr>
        <w:tc>
          <w:tcPr>
            <w:tcW w:type="dxa" w:w="28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Hardware requirement</w:t>
            </w:r>
          </w:p>
        </w:tc>
        <w:tc>
          <w:tcPr>
            <w:tcW w:type="dxa" w:w="728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Requires proprietary Pixellot camera hardware installed at each venue. Not a phone-only solution.</w:t>
            </w:r>
          </w:p>
        </w:tc>
      </w:tr>
      <w:tr>
        <w:tc>
          <w:tcPr>
            <w:tcW w:type="dxa" w:w="28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Squash application</w:t>
            </w:r>
          </w:p>
        </w:tc>
        <w:tc>
          <w:tcPr>
            <w:tcW w:type="dxa" w:w="728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Used at select professional squash tournaments for broadcast production. No consumer analytics product for individual players.</w:t>
            </w:r>
          </w:p>
        </w:tc>
      </w:tr>
      <w:tr>
        <w:tc>
          <w:tcPr>
            <w:tcW w:type="dxa" w:w="28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Cost</w:t>
            </w:r>
          </w:p>
        </w:tc>
        <w:tc>
          <w:tcPr>
            <w:tcW w:type="dxa" w:w="728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Hardware purchase plus SaaS subscription bundle. High upfront cost inaccessible for individual players or small academies.</w:t>
            </w:r>
          </w:p>
        </w:tc>
      </w:tr>
      <w:tr>
        <w:tc>
          <w:tcPr>
            <w:tcW w:type="dxa" w:w="28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Key weakness</w:t>
            </w:r>
          </w:p>
        </w:tc>
        <w:tc>
          <w:tcPr>
            <w:tcW w:type="dxa" w:w="728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Hardware dependency eliminates the vast majority of squash courts globally that would never invest in a fixed camera system. Not a scalable model for the grassroots or amateur segment.</w:t>
            </w:r>
          </w:p>
        </w:tc>
      </w:tr>
    </w:tbl>
    <w:p>
      <w:pPr>
        <w:spacing w:before="0" w:after="0"/>
      </w:pPr>
      <w:r>
        <w:rPr>
          <w:sz w:val="14"/>
          <w:szCs w:val="14"/>
        </w:rPr>
        <w:t xml:space="preserve"/>
      </w:r>
    </w:p>
    <w:p>
      <w:pPr>
        <w:spacing w:before="200" w:after="60"/>
      </w:pPr>
      <w:r>
        <w:rPr>
          <w:rFonts w:ascii="Calibri" w:cs="Calibri" w:eastAsia="Calibri" w:hAnsi="Calibri"/>
          <w:b/>
          <w:bCs/>
          <w:color w:val="1A5276"/>
          <w:sz w:val="21"/>
          <w:szCs w:val="21"/>
        </w:rPr>
        <w:t xml:space="preserve">IBM + Agassi Sports Entertainment (November 2025)</w:t>
      </w:r>
    </w:p>
    <w:p>
      <w:pPr>
        <w:spacing w:before="60" w:after="80"/>
        <w:jc w:val="left"/>
      </w:pPr>
      <w:r>
        <w:rPr>
          <w:rFonts w:ascii="Calibri" w:cs="Calibri" w:eastAsia="Calibri" w:hAnsi="Calibri"/>
          <w:b w:val="false"/>
          <w:bCs w:val="false"/>
          <w:i w:val="false"/>
          <w:iCs w:val="false"/>
          <w:color w:val="2C2C2C"/>
          <w:sz w:val="20"/>
          <w:szCs w:val="20"/>
        </w:rPr>
        <w:t xml:space="preserve">In November 2025, IBM Corporation announced a multi-year collaboration with Agassi Sports Entertainment to build an AI-powered digital platform for global racquet sports, using IBM's watsonx.ai and computer vision capabilities. Features include AI-driven video coaching, performance analytics, and fan engagement tools.</w:t>
      </w:r>
    </w:p>
    <w:p>
      <w:pPr>
        <w:spacing w:before="0" w:after="0"/>
      </w:pPr>
      <w:r>
        <w:rPr>
          <w:sz w:val="14"/>
          <w:szCs w:val="14"/>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ED6F1" w:sz="3"/>
              <w:left w:val="single" w:color="2E75B6" w:sz="18"/>
              <w:bottom w:val="single" w:color="AED6F1" w:sz="3"/>
              <w:right w:val="single" w:color="AED6F1" w:sz="3"/>
            </w:tcBorders>
            <w:shd w:fill="E8F4FD" w:val="clear"/>
            <w:tcMar>
              <w:top w:type="dxa" w:w="140"/>
              <w:left w:type="dxa" w:w="240"/>
              <w:bottom w:type="dxa" w:w="140"/>
              <w:right w:type="dxa" w:w="200"/>
            </w:tcMar>
          </w:tcPr>
          <w:p>
            <w:pPr>
              <w:spacing w:before="0" w:after="60"/>
            </w:pPr>
            <w:r>
              <w:rPr>
                <w:rFonts w:ascii="Calibri" w:cs="Calibri" w:eastAsia="Calibri" w:hAnsi="Calibri"/>
                <w:b/>
                <w:bCs/>
                <w:color w:val="1F3864"/>
                <w:sz w:val="20"/>
                <w:szCs w:val="20"/>
              </w:rPr>
              <w:t xml:space="preserve">IBM's Entry — Validation, Not Competition</w:t>
            </w:r>
          </w:p>
          <w:p>
            <w:pPr>
              <w:spacing w:before="0" w:after="0"/>
            </w:pPr>
            <w:r>
              <w:rPr>
                <w:rFonts w:ascii="Calibri" w:cs="Calibri" w:eastAsia="Calibri" w:hAnsi="Calibri"/>
                <w:color w:val="2C2C2C"/>
                <w:sz w:val="19"/>
                <w:szCs w:val="19"/>
              </w:rPr>
              <w:t xml:space="preserve">IBM entering racquet sports analytics in late 2025 confirms the market thesis at the highest institutional level. However, IBM and Agassi Sports Entertainment will target professional leagues, broadcasters, and national federations — not grassroots individual players and small academies. This is market validation of the category, not a threat to SquashVision's specific customer segment.</w:t>
            </w:r>
          </w:p>
        </w:tc>
      </w:tr>
    </w:tbl>
    <w:p>
      <w:pPr>
        <w:spacing w:before="0" w:after="0"/>
      </w:pPr>
      <w:r>
        <w:rPr>
          <w:sz w:val="14"/>
          <w:szCs w:val="14"/>
        </w:rPr>
        <w:t xml:space="preserve"/>
      </w:r>
    </w:p>
    <w:p>
      <w:pPr>
        <w:pStyle w:val="Heading2"/>
        <w:spacing w:before="280" w:after="100"/>
      </w:pPr>
      <w:r>
        <w:rPr>
          <w:rFonts w:ascii="Calibri" w:cs="Calibri" w:eastAsia="Calibri" w:hAnsi="Calibri"/>
          <w:b/>
          <w:bCs/>
          <w:color w:val="2E75B6"/>
          <w:sz w:val="27"/>
          <w:szCs w:val="27"/>
        </w:rPr>
        <w:t xml:space="preserve">2.3  Competitive Landscape Matrix</w:t>
      </w:r>
    </w:p>
    <w:p>
      <w:pPr>
        <w:spacing w:before="0" w:after="0"/>
      </w:pPr>
      <w:r>
        <w:rPr>
          <w:sz w:val="14"/>
          <w:szCs w:val="14"/>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1440"/>
        <w:gridCol w:w="1440"/>
        <w:gridCol w:w="1260"/>
        <w:gridCol w:w="1260"/>
        <w:gridCol w:w="1800"/>
      </w:tblGrid>
      <w:tr>
        <w:tc>
          <w:tcPr>
            <w:tcW w:type="dxa" w:w="2880"/>
            <w:tcBorders>
              <w:top w:val="single" w:color="1F3864" w:sz="1"/>
              <w:left w:val="single" w:color="1F3864" w:sz="1"/>
              <w:bottom w:val="single" w:color="1F3864" w:sz="1"/>
              <w:right w:val="single" w:color="1F3864" w:sz="1"/>
            </w:tcBorders>
            <w:shd w:fill="1F3864" w:val="clear"/>
            <w:tcMar>
              <w:top w:type="dxa" w:w="110"/>
              <w:left w:type="dxa" w:w="160"/>
              <w:bottom w:type="dxa" w:w="110"/>
              <w:right w:type="dxa" w:w="160"/>
            </w:tcMar>
          </w:tcPr>
          <w:p>
            <w:pPr>
              <w:jc w:val="left"/>
            </w:pPr>
            <w:r>
              <w:rPr>
                <w:rFonts w:ascii="Calibri" w:cs="Calibri" w:eastAsia="Calibri" w:hAnsi="Calibri"/>
                <w:b/>
                <w:bCs/>
                <w:i w:val="false"/>
                <w:iCs w:val="false"/>
                <w:color w:val="FFFFFF"/>
                <w:sz w:val="19"/>
                <w:szCs w:val="19"/>
              </w:rPr>
              <w:t xml:space="preserve">Capability</w:t>
            </w:r>
          </w:p>
        </w:tc>
        <w:tc>
          <w:tcPr>
            <w:tcW w:type="dxa" w:w="1440"/>
            <w:tcBorders>
              <w:top w:val="single" w:color="1F3864" w:sz="1"/>
              <w:left w:val="single" w:color="1F3864" w:sz="1"/>
              <w:bottom w:val="single" w:color="1F3864" w:sz="1"/>
              <w:right w:val="single" w:color="1F3864" w:sz="1"/>
            </w:tcBorders>
            <w:shd w:fill="1F3864" w:val="clear"/>
            <w:tcMar>
              <w:top w:type="dxa" w:w="110"/>
              <w:left w:type="dxa" w:w="160"/>
              <w:bottom w:type="dxa" w:w="110"/>
              <w:right w:type="dxa" w:w="160"/>
            </w:tcMar>
          </w:tcPr>
          <w:p>
            <w:pPr>
              <w:jc w:val="left"/>
            </w:pPr>
            <w:r>
              <w:rPr>
                <w:rFonts w:ascii="Calibri" w:cs="Calibri" w:eastAsia="Calibri" w:hAnsi="Calibri"/>
                <w:b/>
                <w:bCs/>
                <w:i w:val="false"/>
                <w:iCs w:val="false"/>
                <w:color w:val="FFFFFF"/>
                <w:sz w:val="19"/>
                <w:szCs w:val="19"/>
              </w:rPr>
              <w:t xml:space="preserve">SmartSquash AI</w:t>
            </w:r>
          </w:p>
        </w:tc>
        <w:tc>
          <w:tcPr>
            <w:tcW w:type="dxa" w:w="1440"/>
            <w:tcBorders>
              <w:top w:val="single" w:color="1F3864" w:sz="1"/>
              <w:left w:val="single" w:color="1F3864" w:sz="1"/>
              <w:bottom w:val="single" w:color="1F3864" w:sz="1"/>
              <w:right w:val="single" w:color="1F3864" w:sz="1"/>
            </w:tcBorders>
            <w:shd w:fill="1F3864" w:val="clear"/>
            <w:tcMar>
              <w:top w:type="dxa" w:w="110"/>
              <w:left w:type="dxa" w:w="160"/>
              <w:bottom w:type="dxa" w:w="110"/>
              <w:right w:type="dxa" w:w="160"/>
            </w:tcMar>
          </w:tcPr>
          <w:p>
            <w:pPr>
              <w:jc w:val="left"/>
            </w:pPr>
            <w:r>
              <w:rPr>
                <w:rFonts w:ascii="Calibri" w:cs="Calibri" w:eastAsia="Calibri" w:hAnsi="Calibri"/>
                <w:b/>
                <w:bCs/>
                <w:i w:val="false"/>
                <w:iCs w:val="false"/>
                <w:color w:val="FFFFFF"/>
                <w:sz w:val="19"/>
                <w:szCs w:val="19"/>
              </w:rPr>
              <w:t xml:space="preserve">RallyVision</w:t>
            </w:r>
          </w:p>
        </w:tc>
        <w:tc>
          <w:tcPr>
            <w:tcW w:type="dxa" w:w="1260"/>
            <w:tcBorders>
              <w:top w:val="single" w:color="1F3864" w:sz="1"/>
              <w:left w:val="single" w:color="1F3864" w:sz="1"/>
              <w:bottom w:val="single" w:color="1F3864" w:sz="1"/>
              <w:right w:val="single" w:color="1F3864" w:sz="1"/>
            </w:tcBorders>
            <w:shd w:fill="1F3864" w:val="clear"/>
            <w:tcMar>
              <w:top w:type="dxa" w:w="110"/>
              <w:left w:type="dxa" w:w="160"/>
              <w:bottom w:type="dxa" w:w="110"/>
              <w:right w:type="dxa" w:w="160"/>
            </w:tcMar>
          </w:tcPr>
          <w:p>
            <w:pPr>
              <w:jc w:val="left"/>
            </w:pPr>
            <w:r>
              <w:rPr>
                <w:rFonts w:ascii="Calibri" w:cs="Calibri" w:eastAsia="Calibri" w:hAnsi="Calibri"/>
                <w:b/>
                <w:bCs/>
                <w:i w:val="false"/>
                <w:iCs w:val="false"/>
                <w:color w:val="FFFFFF"/>
                <w:sz w:val="19"/>
                <w:szCs w:val="19"/>
              </w:rPr>
              <w:t xml:space="preserve">Hudl</w:t>
            </w:r>
          </w:p>
        </w:tc>
        <w:tc>
          <w:tcPr>
            <w:tcW w:type="dxa" w:w="1260"/>
            <w:tcBorders>
              <w:top w:val="single" w:color="1F3864" w:sz="1"/>
              <w:left w:val="single" w:color="1F3864" w:sz="1"/>
              <w:bottom w:val="single" w:color="1F3864" w:sz="1"/>
              <w:right w:val="single" w:color="1F3864" w:sz="1"/>
            </w:tcBorders>
            <w:shd w:fill="1F3864" w:val="clear"/>
            <w:tcMar>
              <w:top w:type="dxa" w:w="110"/>
              <w:left w:type="dxa" w:w="160"/>
              <w:bottom w:type="dxa" w:w="110"/>
              <w:right w:type="dxa" w:w="160"/>
            </w:tcMar>
          </w:tcPr>
          <w:p>
            <w:pPr>
              <w:jc w:val="left"/>
            </w:pPr>
            <w:r>
              <w:rPr>
                <w:rFonts w:ascii="Calibri" w:cs="Calibri" w:eastAsia="Calibri" w:hAnsi="Calibri"/>
                <w:b/>
                <w:bCs/>
                <w:i w:val="false"/>
                <w:iCs w:val="false"/>
                <w:color w:val="FFFFFF"/>
                <w:sz w:val="19"/>
                <w:szCs w:val="19"/>
              </w:rPr>
              <w:t xml:space="preserve">Pixellot</w:t>
            </w:r>
          </w:p>
        </w:tc>
        <w:tc>
          <w:tcPr>
            <w:tcW w:type="dxa" w:w="1800"/>
            <w:tcBorders>
              <w:top w:val="single" w:color="1F3864" w:sz="1"/>
              <w:left w:val="single" w:color="1F3864" w:sz="1"/>
              <w:bottom w:val="single" w:color="1F3864" w:sz="1"/>
              <w:right w:val="single" w:color="1F3864" w:sz="1"/>
            </w:tcBorders>
            <w:shd w:fill="1A5276" w:val="clear"/>
            <w:tcMar>
              <w:top w:type="dxa" w:w="110"/>
              <w:left w:type="dxa" w:w="160"/>
              <w:bottom w:type="dxa" w:w="110"/>
              <w:right w:type="dxa" w:w="160"/>
            </w:tcMar>
          </w:tcPr>
          <w:p>
            <w:pPr>
              <w:jc w:val="left"/>
            </w:pPr>
            <w:r>
              <w:rPr>
                <w:rFonts w:ascii="Calibri" w:cs="Calibri" w:eastAsia="Calibri" w:hAnsi="Calibri"/>
                <w:b/>
                <w:bCs/>
                <w:i w:val="false"/>
                <w:iCs w:val="false"/>
                <w:color w:val="FFFFFF"/>
                <w:sz w:val="19"/>
                <w:szCs w:val="19"/>
              </w:rPr>
              <w:t xml:space="preserve">SquashVision AI</w:t>
            </w:r>
          </w:p>
        </w:tc>
      </w:tr>
      <w:tr>
        <w:tc>
          <w:tcPr>
            <w:tcW w:type="dxa" w:w="288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Squash-specific</w:t>
            </w:r>
          </w:p>
        </w:tc>
        <w:tc>
          <w:tcPr>
            <w:tcW w:type="dxa" w:w="144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Yes</w:t>
            </w:r>
          </w:p>
        </w:tc>
        <w:tc>
          <w:tcPr>
            <w:tcW w:type="dxa" w:w="144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Yes</w:t>
            </w:r>
          </w:p>
        </w:tc>
        <w:tc>
          <w:tcPr>
            <w:tcW w:type="dxa" w:w="126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No</w:t>
            </w:r>
          </w:p>
        </w:tc>
        <w:tc>
          <w:tcPr>
            <w:tcW w:type="dxa" w:w="126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Partial</w:t>
            </w:r>
          </w:p>
        </w:tc>
        <w:tc>
          <w:tcPr>
            <w:tcW w:type="dxa" w:w="18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bCs/>
                <w:i w:val="false"/>
                <w:iCs w:val="false"/>
                <w:color w:val="1A5276"/>
                <w:sz w:val="19"/>
                <w:szCs w:val="19"/>
              </w:rPr>
              <w:t xml:space="preserve">Yes</w:t>
            </w:r>
          </w:p>
        </w:tc>
      </w:tr>
      <w:tr>
        <w:tc>
          <w:tcPr>
            <w:tcW w:type="dxa" w:w="288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Phone camera only — no hardware</w:t>
            </w:r>
          </w:p>
        </w:tc>
        <w:tc>
          <w:tcPr>
            <w:tcW w:type="dxa" w:w="144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Likely</w:t>
            </w:r>
          </w:p>
        </w:tc>
        <w:tc>
          <w:tcPr>
            <w:tcW w:type="dxa" w:w="144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Yes</w:t>
            </w:r>
          </w:p>
        </w:tc>
        <w:tc>
          <w:tcPr>
            <w:tcW w:type="dxa" w:w="126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No</w:t>
            </w:r>
          </w:p>
        </w:tc>
        <w:tc>
          <w:tcPr>
            <w:tcW w:type="dxa" w:w="126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No</w:t>
            </w:r>
          </w:p>
        </w:tc>
        <w:tc>
          <w:tcPr>
            <w:tcW w:type="dxa" w:w="18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bCs/>
                <w:i w:val="false"/>
                <w:iCs w:val="false"/>
                <w:color w:val="1A5276"/>
                <w:sz w:val="19"/>
                <w:szCs w:val="19"/>
              </w:rPr>
              <w:t xml:space="preserve">Yes</w:t>
            </w:r>
          </w:p>
        </w:tc>
      </w:tr>
      <w:tr>
        <w:tc>
          <w:tcPr>
            <w:tcW w:type="dxa" w:w="288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Fully automated AI pipeline</w:t>
            </w:r>
          </w:p>
        </w:tc>
        <w:tc>
          <w:tcPr>
            <w:tcW w:type="dxa" w:w="144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Partial</w:t>
            </w:r>
          </w:p>
        </w:tc>
        <w:tc>
          <w:tcPr>
            <w:tcW w:type="dxa" w:w="144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No</w:t>
            </w:r>
          </w:p>
        </w:tc>
        <w:tc>
          <w:tcPr>
            <w:tcW w:type="dxa" w:w="126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Partial</w:t>
            </w:r>
          </w:p>
        </w:tc>
        <w:tc>
          <w:tcPr>
            <w:tcW w:type="dxa" w:w="126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Yes (hardware)</w:t>
            </w:r>
          </w:p>
        </w:tc>
        <w:tc>
          <w:tcPr>
            <w:tcW w:type="dxa" w:w="18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bCs/>
                <w:i w:val="false"/>
                <w:iCs w:val="false"/>
                <w:color w:val="1A5276"/>
                <w:sz w:val="19"/>
                <w:szCs w:val="19"/>
              </w:rPr>
              <w:t xml:space="preserve">In development</w:t>
            </w:r>
          </w:p>
        </w:tc>
      </w:tr>
      <w:tr>
        <w:tc>
          <w:tcPr>
            <w:tcW w:type="dxa" w:w="288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Individual player pricing (&lt;$200/yr)</w:t>
            </w:r>
          </w:p>
        </w:tc>
        <w:tc>
          <w:tcPr>
            <w:tcW w:type="dxa" w:w="144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Free only</w:t>
            </w:r>
          </w:p>
        </w:tc>
        <w:tc>
          <w:tcPr>
            <w:tcW w:type="dxa" w:w="144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Unknown</w:t>
            </w:r>
          </w:p>
        </w:tc>
        <w:tc>
          <w:tcPr>
            <w:tcW w:type="dxa" w:w="126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No</w:t>
            </w:r>
          </w:p>
        </w:tc>
        <w:tc>
          <w:tcPr>
            <w:tcW w:type="dxa" w:w="126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No</w:t>
            </w:r>
          </w:p>
        </w:tc>
        <w:tc>
          <w:tcPr>
            <w:tcW w:type="dxa" w:w="18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bCs/>
                <w:i w:val="false"/>
                <w:iCs w:val="false"/>
                <w:color w:val="1A5276"/>
                <w:sz w:val="19"/>
                <w:szCs w:val="19"/>
              </w:rPr>
              <w:t xml:space="preserve">Planned (~$120/yr)</w:t>
            </w:r>
          </w:p>
        </w:tc>
      </w:tr>
      <w:tr>
        <w:tc>
          <w:tcPr>
            <w:tcW w:type="dxa" w:w="288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Academy and coach dashboard</w:t>
            </w:r>
          </w:p>
        </w:tc>
        <w:tc>
          <w:tcPr>
            <w:tcW w:type="dxa" w:w="144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Planned</w:t>
            </w:r>
          </w:p>
        </w:tc>
        <w:tc>
          <w:tcPr>
            <w:tcW w:type="dxa" w:w="144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Yes (manual)</w:t>
            </w:r>
          </w:p>
        </w:tc>
        <w:tc>
          <w:tcPr>
            <w:tcW w:type="dxa" w:w="126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Yes</w:t>
            </w:r>
          </w:p>
        </w:tc>
        <w:tc>
          <w:tcPr>
            <w:tcW w:type="dxa" w:w="126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Partial</w:t>
            </w:r>
          </w:p>
        </w:tc>
        <w:tc>
          <w:tcPr>
            <w:tcW w:type="dxa" w:w="18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Phase 2 roadmap</w:t>
            </w:r>
          </w:p>
        </w:tc>
      </w:tr>
      <w:tr>
        <w:tc>
          <w:tcPr>
            <w:tcW w:type="dxa" w:w="288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India market presence</w:t>
            </w:r>
          </w:p>
        </w:tc>
        <w:tc>
          <w:tcPr>
            <w:tcW w:type="dxa" w:w="144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None</w:t>
            </w:r>
          </w:p>
        </w:tc>
        <w:tc>
          <w:tcPr>
            <w:tcW w:type="dxa" w:w="144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None</w:t>
            </w:r>
          </w:p>
        </w:tc>
        <w:tc>
          <w:tcPr>
            <w:tcW w:type="dxa" w:w="126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None</w:t>
            </w:r>
          </w:p>
        </w:tc>
        <w:tc>
          <w:tcPr>
            <w:tcW w:type="dxa" w:w="126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None</w:t>
            </w:r>
          </w:p>
        </w:tc>
        <w:tc>
          <w:tcPr>
            <w:tcW w:type="dxa" w:w="18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bCs/>
                <w:i w:val="false"/>
                <w:iCs w:val="false"/>
                <w:color w:val="1A5276"/>
                <w:sz w:val="19"/>
                <w:szCs w:val="19"/>
              </w:rPr>
              <w:t xml:space="preserve">First mover opportunity</w:t>
            </w:r>
          </w:p>
        </w:tc>
      </w:tr>
      <w:tr>
        <w:tc>
          <w:tcPr>
            <w:tcW w:type="dxa" w:w="288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Ball tracking</w:t>
            </w:r>
          </w:p>
        </w:tc>
        <w:tc>
          <w:tcPr>
            <w:tcW w:type="dxa" w:w="144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Yes (new)</w:t>
            </w:r>
          </w:p>
        </w:tc>
        <w:tc>
          <w:tcPr>
            <w:tcW w:type="dxa" w:w="144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No</w:t>
            </w:r>
          </w:p>
        </w:tc>
        <w:tc>
          <w:tcPr>
            <w:tcW w:type="dxa" w:w="126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No</w:t>
            </w:r>
          </w:p>
        </w:tc>
        <w:tc>
          <w:tcPr>
            <w:tcW w:type="dxa" w:w="126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Limited</w:t>
            </w:r>
          </w:p>
        </w:tc>
        <w:tc>
          <w:tcPr>
            <w:tcW w:type="dxa" w:w="18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Phase 2 roadmap</w:t>
            </w:r>
          </w:p>
        </w:tc>
      </w:tr>
      <w:tr>
        <w:tc>
          <w:tcPr>
            <w:tcW w:type="dxa" w:w="288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Tactical AI recommendations</w:t>
            </w:r>
          </w:p>
        </w:tc>
        <w:tc>
          <w:tcPr>
            <w:tcW w:type="dxa" w:w="144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No</w:t>
            </w:r>
          </w:p>
        </w:tc>
        <w:tc>
          <w:tcPr>
            <w:tcW w:type="dxa" w:w="144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No</w:t>
            </w:r>
          </w:p>
        </w:tc>
        <w:tc>
          <w:tcPr>
            <w:tcW w:type="dxa" w:w="126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No</w:t>
            </w:r>
          </w:p>
        </w:tc>
        <w:tc>
          <w:tcPr>
            <w:tcW w:type="dxa" w:w="126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No</w:t>
            </w:r>
          </w:p>
        </w:tc>
        <w:tc>
          <w:tcPr>
            <w:tcW w:type="dxa" w:w="18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Phase 3 roadmap</w:t>
            </w:r>
          </w:p>
        </w:tc>
      </w:tr>
      <w:tr>
        <w:tc>
          <w:tcPr>
            <w:tcW w:type="dxa" w:w="288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SRFI / India federation link</w:t>
            </w:r>
          </w:p>
        </w:tc>
        <w:tc>
          <w:tcPr>
            <w:tcW w:type="dxa" w:w="144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None</w:t>
            </w:r>
          </w:p>
        </w:tc>
        <w:tc>
          <w:tcPr>
            <w:tcW w:type="dxa" w:w="144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None</w:t>
            </w:r>
          </w:p>
        </w:tc>
        <w:tc>
          <w:tcPr>
            <w:tcW w:type="dxa" w:w="126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None</w:t>
            </w:r>
          </w:p>
        </w:tc>
        <w:tc>
          <w:tcPr>
            <w:tcW w:type="dxa" w:w="126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None</w:t>
            </w:r>
          </w:p>
        </w:tc>
        <w:tc>
          <w:tcPr>
            <w:tcW w:type="dxa" w:w="18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bCs/>
                <w:i w:val="false"/>
                <w:iCs w:val="false"/>
                <w:color w:val="1A5276"/>
                <w:sz w:val="19"/>
                <w:szCs w:val="19"/>
              </w:rPr>
              <w:t xml:space="preserve">Active opportunity</w:t>
            </w:r>
          </w:p>
        </w:tc>
      </w:tr>
    </w:tbl>
    <w:p>
      <w:pPr>
        <w:spacing w:before="0" w:after="0"/>
      </w:pPr>
      <w:r>
        <w:rPr>
          <w:sz w:val="14"/>
          <w:szCs w:val="14"/>
        </w:rPr>
        <w:t xml:space="preserve"/>
      </w:r>
    </w:p>
    <w:p>
      <w:pPr>
        <w:pStyle w:val="Heading2"/>
        <w:spacing w:before="280" w:after="100"/>
      </w:pPr>
      <w:r>
        <w:rPr>
          <w:rFonts w:ascii="Calibri" w:cs="Calibri" w:eastAsia="Calibri" w:hAnsi="Calibri"/>
          <w:b/>
          <w:bCs/>
          <w:color w:val="2E75B6"/>
          <w:sz w:val="27"/>
          <w:szCs w:val="27"/>
        </w:rPr>
        <w:t xml:space="preserve">2.4  The Core Product Gap</w:t>
      </w:r>
    </w:p>
    <w:p>
      <w:pPr>
        <w:spacing w:before="60" w:after="80"/>
        <w:jc w:val="left"/>
      </w:pPr>
      <w:r>
        <w:rPr>
          <w:rFonts w:ascii="Calibri" w:cs="Calibri" w:eastAsia="Calibri" w:hAnsi="Calibri"/>
          <w:b w:val="false"/>
          <w:bCs w:val="false"/>
          <w:i w:val="false"/>
          <w:iCs w:val="false"/>
          <w:color w:val="2C2C2C"/>
          <w:sz w:val="20"/>
          <w:szCs w:val="20"/>
        </w:rPr>
        <w:t xml:space="preserve">Ball tracking in squash is technically harder than in any comparable racquet sport for three structural reasons: the squash ball is smaller and darker than a tennis ball; players continuously obstruct the camera angle in an enclosed glass box; and indoor court lighting creates glare and reflection artefacts that degrade computer vision model performance. This technical difficulty explains why the market remains so underpenetrated despite clear commercial demand.</w:t>
      </w:r>
    </w:p>
    <w:p>
      <w:pPr>
        <w:spacing w:before="0" w:after="0"/>
      </w:pPr>
      <w:r>
        <w:rPr>
          <w:sz w:val="14"/>
          <w:szCs w:val="14"/>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ED6F1" w:sz="3"/>
              <w:left w:val="single" w:color="2E75B6" w:sz="18"/>
              <w:bottom w:val="single" w:color="AED6F1" w:sz="3"/>
              <w:right w:val="single" w:color="AED6F1" w:sz="3"/>
            </w:tcBorders>
            <w:shd w:fill="E8F4FD" w:val="clear"/>
            <w:tcMar>
              <w:top w:type="dxa" w:w="140"/>
              <w:left w:type="dxa" w:w="240"/>
              <w:bottom w:type="dxa" w:w="140"/>
              <w:right w:type="dxa" w:w="200"/>
            </w:tcMar>
          </w:tcPr>
          <w:p>
            <w:pPr>
              <w:spacing w:before="0" w:after="60"/>
            </w:pPr>
            <w:r>
              <w:rPr>
                <w:rFonts w:ascii="Calibri" w:cs="Calibri" w:eastAsia="Calibri" w:hAnsi="Calibri"/>
                <w:b/>
                <w:bCs/>
                <w:color w:val="1F3864"/>
                <w:sz w:val="20"/>
                <w:szCs w:val="20"/>
              </w:rPr>
              <w:t xml:space="preserve">The Unsolved Three-Way Combination</w:t>
            </w:r>
          </w:p>
          <w:p>
            <w:pPr>
              <w:spacing w:before="0" w:after="0"/>
            </w:pPr>
            <w:r>
              <w:rPr>
                <w:rFonts w:ascii="Calibri" w:cs="Calibri" w:eastAsia="Calibri" w:hAnsi="Calibri"/>
                <w:color w:val="2C2C2C"/>
                <w:sz w:val="19"/>
                <w:szCs w:val="19"/>
              </w:rPr>
              <w:t xml:space="preserve">No product currently delivers all three simultaneously: (1) squash-specific analytics, (2) works with a standard phone camera with no hardware required, and (3) priced accessibly for individual players and small academies. This is the precise whitespace SquashVision is positioned to occupy.</w:t>
            </w:r>
          </w:p>
        </w:tc>
      </w:tr>
    </w:tbl>
    <w:p>
      <w:pPr>
        <w:spacing w:before="0" w:after="0"/>
      </w:pPr>
      <w:r>
        <w:rPr>
          <w:sz w:val="14"/>
          <w:szCs w:val="14"/>
        </w:rPr>
        <w:t xml:space="preserve"/>
      </w:r>
    </w:p>
    <w:p>
      <w:pPr>
        <w:pBdr>
          <w:bottom w:val="single" w:color="D0D3D4" w:sz="4" w:space="1"/>
        </w:pBdr>
        <w:spacing w:before="220" w:after="220"/>
      </w:pPr>
      <w:r>
        <w:t xml:space="preserve"/>
      </w:r>
    </w:p>
    <w:p>
      <w:pPr>
        <w:pStyle w:val="Heading1"/>
        <w:pBdr>
          <w:bottom w:val="single" w:color="2E75B6" w:sz="10" w:space="8"/>
        </w:pBdr>
        <w:spacing w:before="400" w:after="120"/>
      </w:pPr>
      <w:r>
        <w:rPr>
          <w:rFonts w:ascii="Calibri" w:cs="Calibri" w:eastAsia="Calibri" w:hAnsi="Calibri"/>
          <w:b/>
          <w:bCs/>
          <w:color w:val="1F3864"/>
          <w:sz w:val="38"/>
          <w:szCs w:val="38"/>
        </w:rPr>
        <w:t xml:space="preserve">03  |  Product Strategy &amp; Go-to-Market Plan</w:t>
      </w:r>
    </w:p>
    <w:p>
      <w:pPr>
        <w:pStyle w:val="Heading2"/>
        <w:spacing w:before="280" w:after="100"/>
      </w:pPr>
      <w:r>
        <w:rPr>
          <w:rFonts w:ascii="Calibri" w:cs="Calibri" w:eastAsia="Calibri" w:hAnsi="Calibri"/>
          <w:b/>
          <w:bCs/>
          <w:color w:val="2E75B6"/>
          <w:sz w:val="27"/>
          <w:szCs w:val="27"/>
        </w:rPr>
        <w:t xml:space="preserve">3.1  Product Vision</w:t>
      </w:r>
    </w:p>
    <w:p>
      <w:pPr>
        <w:spacing w:before="60" w:after="80"/>
        <w:jc w:val="left"/>
      </w:pPr>
      <w:r>
        <w:rPr>
          <w:rFonts w:ascii="Calibri" w:cs="Calibri" w:eastAsia="Calibri" w:hAnsi="Calibri"/>
          <w:b w:val="false"/>
          <w:bCs w:val="false"/>
          <w:i w:val="false"/>
          <w:iCs w:val="false"/>
          <w:color w:val="2C2C2C"/>
          <w:sz w:val="20"/>
          <w:szCs w:val="20"/>
        </w:rPr>
        <w:t xml:space="preserve">SquashVision AI is the SwingVision for squash — a mobile-first AI analytics platform that converts any match recording from a standard phone camera into a full performance report, automatically. No sensors. No additional hardware. No manual tagging. A player uploads a video and receives movement heatmaps, rally statistics, court positioning analysis, and — further down the development roadmap — tactical coaching insights.</w:t>
      </w:r>
    </w:p>
    <w:p>
      <w:pPr>
        <w:spacing w:before="60" w:after="80"/>
        <w:jc w:val="left"/>
      </w:pPr>
      <w:r>
        <w:rPr>
          <w:rFonts w:ascii="Calibri" w:cs="Calibri" w:eastAsia="Calibri" w:hAnsi="Calibri"/>
          <w:b w:val="false"/>
          <w:bCs w:val="false"/>
          <w:i w:val="false"/>
          <w:iCs w:val="false"/>
          <w:color w:val="2C2C2C"/>
          <w:sz w:val="20"/>
          <w:szCs w:val="20"/>
        </w:rPr>
        <w:t xml:space="preserve">The project is currently in active research and development, with the core computer vision engine — court keypoint detection and player tracking — built and being refined. The strategy below reflects a realistic, staged path from the current technical foundation toward a market-ready product, at a pace that does not require full-time commitment at this stage.</w:t>
      </w:r>
    </w:p>
    <w:p>
      <w:pPr>
        <w:spacing w:before="0" w:after="0"/>
      </w:pPr>
      <w:r>
        <w:rPr>
          <w:sz w:val="14"/>
          <w:szCs w:val="14"/>
        </w:rPr>
        <w:t xml:space="preserve"/>
      </w:r>
    </w:p>
    <w:p>
      <w:pPr>
        <w:pStyle w:val="Heading2"/>
        <w:spacing w:before="280" w:after="100"/>
      </w:pPr>
      <w:r>
        <w:rPr>
          <w:rFonts w:ascii="Calibri" w:cs="Calibri" w:eastAsia="Calibri" w:hAnsi="Calibri"/>
          <w:b/>
          <w:bCs/>
          <w:color w:val="2E75B6"/>
          <w:sz w:val="27"/>
          <w:szCs w:val="27"/>
        </w:rPr>
        <w:t xml:space="preserve">3.2  User Personas</w:t>
      </w:r>
    </w:p>
    <w:p>
      <w:pPr>
        <w:spacing w:before="0" w:after="0"/>
      </w:pPr>
      <w:r>
        <w:rPr>
          <w:sz w:val="14"/>
          <w:szCs w:val="14"/>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2520"/>
        <w:gridCol w:w="2760"/>
        <w:gridCol w:w="3120"/>
      </w:tblGrid>
      <w:tr>
        <w:tc>
          <w:tcPr>
            <w:tcW w:type="dxa" w:w="1680"/>
            <w:tcBorders>
              <w:top w:val="single" w:color="1F3864" w:sz="1"/>
              <w:left w:val="single" w:color="1F3864" w:sz="1"/>
              <w:bottom w:val="single" w:color="1F3864" w:sz="1"/>
              <w:right w:val="single" w:color="1F3864" w:sz="1"/>
            </w:tcBorders>
            <w:shd w:fill="1F3864" w:val="clear"/>
            <w:tcMar>
              <w:top w:type="dxa" w:w="110"/>
              <w:left w:type="dxa" w:w="160"/>
              <w:bottom w:type="dxa" w:w="110"/>
              <w:right w:type="dxa" w:w="160"/>
            </w:tcMar>
          </w:tcPr>
          <w:p>
            <w:pPr>
              <w:jc w:val="left"/>
            </w:pPr>
            <w:r>
              <w:rPr>
                <w:rFonts w:ascii="Calibri" w:cs="Calibri" w:eastAsia="Calibri" w:hAnsi="Calibri"/>
                <w:b/>
                <w:bCs/>
                <w:i w:val="false"/>
                <w:iCs w:val="false"/>
                <w:color w:val="FFFFFF"/>
                <w:sz w:val="19"/>
                <w:szCs w:val="19"/>
              </w:rPr>
              <w:t xml:space="preserve">Persona</w:t>
            </w:r>
          </w:p>
        </w:tc>
        <w:tc>
          <w:tcPr>
            <w:tcW w:type="dxa" w:w="2520"/>
            <w:tcBorders>
              <w:top w:val="single" w:color="1F3864" w:sz="1"/>
              <w:left w:val="single" w:color="1F3864" w:sz="1"/>
              <w:bottom w:val="single" w:color="1F3864" w:sz="1"/>
              <w:right w:val="single" w:color="1F3864" w:sz="1"/>
            </w:tcBorders>
            <w:shd w:fill="1F3864" w:val="clear"/>
            <w:tcMar>
              <w:top w:type="dxa" w:w="110"/>
              <w:left w:type="dxa" w:w="160"/>
              <w:bottom w:type="dxa" w:w="110"/>
              <w:right w:type="dxa" w:w="160"/>
            </w:tcMar>
          </w:tcPr>
          <w:p>
            <w:pPr>
              <w:jc w:val="left"/>
            </w:pPr>
            <w:r>
              <w:rPr>
                <w:rFonts w:ascii="Calibri" w:cs="Calibri" w:eastAsia="Calibri" w:hAnsi="Calibri"/>
                <w:b/>
                <w:bCs/>
                <w:i w:val="false"/>
                <w:iCs w:val="false"/>
                <w:color w:val="FFFFFF"/>
                <w:sz w:val="19"/>
                <w:szCs w:val="19"/>
              </w:rPr>
              <w:t xml:space="preserve">Description</w:t>
            </w:r>
          </w:p>
        </w:tc>
        <w:tc>
          <w:tcPr>
            <w:tcW w:type="dxa" w:w="2760"/>
            <w:tcBorders>
              <w:top w:val="single" w:color="1F3864" w:sz="1"/>
              <w:left w:val="single" w:color="1F3864" w:sz="1"/>
              <w:bottom w:val="single" w:color="1F3864" w:sz="1"/>
              <w:right w:val="single" w:color="1F3864" w:sz="1"/>
            </w:tcBorders>
            <w:shd w:fill="1F3864" w:val="clear"/>
            <w:tcMar>
              <w:top w:type="dxa" w:w="110"/>
              <w:left w:type="dxa" w:w="160"/>
              <w:bottom w:type="dxa" w:w="110"/>
              <w:right w:type="dxa" w:w="160"/>
            </w:tcMar>
          </w:tcPr>
          <w:p>
            <w:pPr>
              <w:jc w:val="left"/>
            </w:pPr>
            <w:r>
              <w:rPr>
                <w:rFonts w:ascii="Calibri" w:cs="Calibri" w:eastAsia="Calibri" w:hAnsi="Calibri"/>
                <w:b/>
                <w:bCs/>
                <w:i w:val="false"/>
                <w:iCs w:val="false"/>
                <w:color w:val="FFFFFF"/>
                <w:sz w:val="19"/>
                <w:szCs w:val="19"/>
              </w:rPr>
              <w:t xml:space="preserve">Core Pain</w:t>
            </w:r>
          </w:p>
        </w:tc>
        <w:tc>
          <w:tcPr>
            <w:tcW w:type="dxa" w:w="3120"/>
            <w:tcBorders>
              <w:top w:val="single" w:color="1F3864" w:sz="1"/>
              <w:left w:val="single" w:color="1F3864" w:sz="1"/>
              <w:bottom w:val="single" w:color="1F3864" w:sz="1"/>
              <w:right w:val="single" w:color="1F3864" w:sz="1"/>
            </w:tcBorders>
            <w:shd w:fill="1F3864" w:val="clear"/>
            <w:tcMar>
              <w:top w:type="dxa" w:w="110"/>
              <w:left w:type="dxa" w:w="160"/>
              <w:bottom w:type="dxa" w:w="110"/>
              <w:right w:type="dxa" w:w="160"/>
            </w:tcMar>
          </w:tcPr>
          <w:p>
            <w:pPr>
              <w:jc w:val="left"/>
            </w:pPr>
            <w:r>
              <w:rPr>
                <w:rFonts w:ascii="Calibri" w:cs="Calibri" w:eastAsia="Calibri" w:hAnsi="Calibri"/>
                <w:b/>
                <w:bCs/>
                <w:i w:val="false"/>
                <w:iCs w:val="false"/>
                <w:color w:val="FFFFFF"/>
                <w:sz w:val="19"/>
                <w:szCs w:val="19"/>
              </w:rPr>
              <w:t xml:space="preserve">Value from SquashVision</w:t>
            </w:r>
          </w:p>
        </w:tc>
      </w:tr>
      <w:tr>
        <w:tc>
          <w:tcPr>
            <w:tcW w:type="dxa" w:w="168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Competitive player</w:t>
            </w:r>
          </w:p>
        </w:tc>
        <w:tc>
          <w:tcPr>
            <w:tcW w:type="dxa" w:w="252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PSA-ranked or serious club player; trains 4–6 sessions per week</w:t>
            </w:r>
          </w:p>
        </w:tc>
        <w:tc>
          <w:tcPr>
            <w:tcW w:type="dxa" w:w="276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Unable to objectively analyse own movement and court positioning without a live coach</w:t>
            </w:r>
          </w:p>
        </w:tc>
        <w:tc>
          <w:tcPr>
            <w:tcW w:type="dxa" w:w="312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Automated heatmaps, T-control percentage, distance covered, and rally-level breakdown after every session</w:t>
            </w:r>
          </w:p>
        </w:tc>
      </w:tr>
      <w:tr>
        <w:tc>
          <w:tcPr>
            <w:tcW w:type="dxa" w:w="168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Squash coach / academy</w:t>
            </w:r>
          </w:p>
        </w:tc>
        <w:tc>
          <w:tcPr>
            <w:tcW w:type="dxa" w:w="252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Coaches 10–50 students; reviews match video manually</w:t>
            </w:r>
          </w:p>
        </w:tc>
        <w:tc>
          <w:tcPr>
            <w:tcW w:type="dxa" w:w="276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Manual video review consumes 5–10 hours per week with no comparative data across students</w:t>
            </w:r>
          </w:p>
        </w:tc>
        <w:tc>
          <w:tcPr>
            <w:tcW w:type="dxa" w:w="312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Coach dashboard with all students' movement data and structured progress tracking over time</w:t>
            </w:r>
          </w:p>
        </w:tc>
      </w:tr>
      <w:tr>
        <w:tc>
          <w:tcPr>
            <w:tcW w:type="dxa" w:w="168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Serious amateur</w:t>
            </w:r>
          </w:p>
        </w:tc>
        <w:tc>
          <w:tcPr>
            <w:tcW w:type="dxa" w:w="252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Club player, 2–3 sessions per week; limited access to professional coaching</w:t>
            </w:r>
          </w:p>
        </w:tc>
        <w:tc>
          <w:tcPr>
            <w:tcW w:type="dxa" w:w="276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No objective way to measure improvement between sessions</w:t>
            </w:r>
          </w:p>
        </w:tc>
        <w:tc>
          <w:tcPr>
            <w:tcW w:type="dxa" w:w="312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Before-and-after heatmap comparisons; tracks T-position percentage and rally length trends over months</w:t>
            </w:r>
          </w:p>
        </w:tc>
      </w:tr>
      <w:tr>
        <w:tc>
          <w:tcPr>
            <w:tcW w:type="dxa" w:w="168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National federation (e.g. SRFI)</w:t>
            </w:r>
          </w:p>
        </w:tc>
        <w:tc>
          <w:tcPr>
            <w:tcW w:type="dxa" w:w="252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Oversees national junior and senior squad development</w:t>
            </w:r>
          </w:p>
        </w:tc>
        <w:tc>
          <w:tcPr>
            <w:tcW w:type="dxa" w:w="276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No standardised data infrastructure for tracking the junior player development pipeline</w:t>
            </w:r>
          </w:p>
        </w:tc>
        <w:tc>
          <w:tcPr>
            <w:tcW w:type="dxa" w:w="312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Centralised analytics across national squad players; evidence-based selection and progression data</w:t>
            </w:r>
          </w:p>
        </w:tc>
      </w:tr>
    </w:tbl>
    <w:p>
      <w:pPr>
        <w:spacing w:before="0" w:after="0"/>
      </w:pPr>
      <w:r>
        <w:rPr>
          <w:sz w:val="14"/>
          <w:szCs w:val="14"/>
        </w:rPr>
        <w:t xml:space="preserve"/>
      </w:r>
    </w:p>
    <w:p>
      <w:pPr>
        <w:pStyle w:val="Heading2"/>
        <w:spacing w:before="280" w:after="100"/>
      </w:pPr>
      <w:r>
        <w:rPr>
          <w:rFonts w:ascii="Calibri" w:cs="Calibri" w:eastAsia="Calibri" w:hAnsi="Calibri"/>
          <w:b/>
          <w:bCs/>
          <w:color w:val="2E75B6"/>
          <w:sz w:val="27"/>
          <w:szCs w:val="27"/>
        </w:rPr>
        <w:t xml:space="preserve">3.3  MVP Definition</w:t>
      </w:r>
    </w:p>
    <w:p>
      <w:pPr>
        <w:spacing w:before="60" w:after="80"/>
        <w:jc w:val="left"/>
      </w:pPr>
      <w:r>
        <w:rPr>
          <w:rFonts w:ascii="Calibri" w:cs="Calibri" w:eastAsia="Calibri" w:hAnsi="Calibri"/>
          <w:b w:val="false"/>
          <w:bCs w:val="false"/>
          <w:i w:val="false"/>
          <w:iCs w:val="false"/>
          <w:color w:val="2C2C2C"/>
          <w:sz w:val="20"/>
          <w:szCs w:val="20"/>
        </w:rPr>
        <w:t xml:space="preserve">The MVP must deliver a clear 'wow moment' within 10 minutes of first use. That moment is: uploading a match video and receiving a heatmap, a T-control percentage, and rally statistics — with zero manual input required from the user. Everything beyond this is Phase 2.</w:t>
      </w:r>
    </w:p>
    <w:p>
      <w:pPr>
        <w:spacing w:before="0" w:after="0"/>
      </w:pPr>
      <w:r>
        <w:rPr>
          <w:sz w:val="14"/>
          <w:szCs w:val="14"/>
        </w:rPr>
        <w:t xml:space="preserve"/>
      </w:r>
    </w:p>
    <w:p>
      <w:pPr>
        <w:spacing w:before="200" w:after="60"/>
      </w:pPr>
      <w:r>
        <w:rPr>
          <w:rFonts w:ascii="Calibri" w:cs="Calibri" w:eastAsia="Calibri" w:hAnsi="Calibri"/>
          <w:b/>
          <w:bCs/>
          <w:color w:val="1A5276"/>
          <w:sz w:val="21"/>
          <w:szCs w:val="21"/>
        </w:rPr>
        <w:t xml:space="preserve">MVP Features</w:t>
      </w:r>
    </w:p>
    <w:p>
      <w:pPr>
        <w:pStyle w:val="ListParagraph"/>
        <w:numPr>
          <w:ilvl w:val="0"/>
          <w:numId w:val="2"/>
        </w:numPr>
        <w:spacing w:before="50" w:after="50"/>
      </w:pPr>
      <w:r>
        <w:rPr>
          <w:rFonts w:ascii="Calibri" w:cs="Calibri" w:eastAsia="Calibri" w:hAnsi="Calibri"/>
          <w:b w:val="false"/>
          <w:bCs w:val="false"/>
          <w:color w:val="2C2C2C"/>
          <w:sz w:val="20"/>
          <w:szCs w:val="20"/>
        </w:rPr>
        <w:t xml:space="preserve">Video upload: MP4 or MOV format, up to 30 minutes, from any phone or fixed camera angle</w:t>
      </w:r>
    </w:p>
    <w:p>
      <w:pPr>
        <w:pStyle w:val="ListParagraph"/>
        <w:numPr>
          <w:ilvl w:val="0"/>
          <w:numId w:val="2"/>
        </w:numPr>
        <w:spacing w:before="50" w:after="50"/>
      </w:pPr>
      <w:r>
        <w:rPr>
          <w:rFonts w:ascii="Calibri" w:cs="Calibri" w:eastAsia="Calibri" w:hAnsi="Calibri"/>
          <w:b w:val="false"/>
          <w:bCs w:val="false"/>
          <w:color w:val="2C2C2C"/>
          <w:sz w:val="20"/>
          <w:szCs w:val="20"/>
        </w:rPr>
        <w:t xml:space="preserve">Automatic court detection and calibration using CNN-based keypoint detection</w:t>
      </w:r>
    </w:p>
    <w:p>
      <w:pPr>
        <w:pStyle w:val="ListParagraph"/>
        <w:numPr>
          <w:ilvl w:val="0"/>
          <w:numId w:val="2"/>
        </w:numPr>
        <w:spacing w:before="50" w:after="50"/>
      </w:pPr>
      <w:r>
        <w:rPr>
          <w:rFonts w:ascii="Calibri" w:cs="Calibri" w:eastAsia="Calibri" w:hAnsi="Calibri"/>
          <w:b w:val="false"/>
          <w:bCs w:val="false"/>
          <w:color w:val="2C2C2C"/>
          <w:sz w:val="20"/>
          <w:szCs w:val="20"/>
        </w:rPr>
        <w:t xml:space="preserve">Player position tracking and movement path rendering across the full match</w:t>
      </w:r>
    </w:p>
    <w:p>
      <w:pPr>
        <w:pStyle w:val="ListParagraph"/>
        <w:numPr>
          <w:ilvl w:val="0"/>
          <w:numId w:val="2"/>
        </w:numPr>
        <w:spacing w:before="50" w:after="50"/>
      </w:pPr>
      <w:r>
        <w:rPr>
          <w:rFonts w:ascii="Calibri" w:cs="Calibri" w:eastAsia="Calibri" w:hAnsi="Calibri"/>
          <w:b w:val="false"/>
          <w:bCs w:val="false"/>
          <w:color w:val="2C2C2C"/>
          <w:sz w:val="20"/>
          <w:szCs w:val="20"/>
        </w:rPr>
        <w:t xml:space="preserve">Output report: court heatmap, T-control percentage, distance covered, rally count, average rally length</w:t>
      </w:r>
    </w:p>
    <w:p>
      <w:pPr>
        <w:pStyle w:val="ListParagraph"/>
        <w:numPr>
          <w:ilvl w:val="0"/>
          <w:numId w:val="2"/>
        </w:numPr>
        <w:spacing w:before="50" w:after="50"/>
      </w:pPr>
      <w:r>
        <w:rPr>
          <w:rFonts w:ascii="Calibri" w:cs="Calibri" w:eastAsia="Calibri" w:hAnsi="Calibri"/>
          <w:b w:val="false"/>
          <w:bCs w:val="false"/>
          <w:color w:val="2C2C2C"/>
          <w:sz w:val="20"/>
          <w:szCs w:val="20"/>
        </w:rPr>
        <w:t xml:space="preserve">Shareable report: PDF or unique link that players can send on WhatsApp or Instagram</w:t>
      </w:r>
    </w:p>
    <w:p>
      <w:pPr>
        <w:pStyle w:val="ListParagraph"/>
        <w:numPr>
          <w:ilvl w:val="0"/>
          <w:numId w:val="2"/>
        </w:numPr>
        <w:spacing w:before="50" w:after="50"/>
      </w:pPr>
      <w:r>
        <w:rPr>
          <w:rFonts w:ascii="Calibri" w:cs="Calibri" w:eastAsia="Calibri" w:hAnsi="Calibri"/>
          <w:b w:val="false"/>
          <w:bCs w:val="false"/>
          <w:color w:val="2C2C2C"/>
          <w:sz w:val="20"/>
          <w:szCs w:val="20"/>
        </w:rPr>
        <w:t xml:space="preserve">Match history: track all metrics across multiple sessions over time</w:t>
      </w:r>
    </w:p>
    <w:p>
      <w:pPr>
        <w:spacing w:before="0" w:after="0"/>
      </w:pPr>
      <w:r>
        <w:rPr>
          <w:sz w:val="14"/>
          <w:szCs w:val="14"/>
        </w:rPr>
        <w:t xml:space="preserve"/>
      </w:r>
    </w:p>
    <w:p>
      <w:pPr>
        <w:spacing w:before="200" w:after="60"/>
      </w:pPr>
      <w:r>
        <w:rPr>
          <w:rFonts w:ascii="Calibri" w:cs="Calibri" w:eastAsia="Calibri" w:hAnsi="Calibri"/>
          <w:b/>
          <w:bCs/>
          <w:color w:val="1A5276"/>
          <w:sz w:val="21"/>
          <w:szCs w:val="21"/>
        </w:rPr>
        <w:t xml:space="preserve">Deferred to Later Phases</w:t>
      </w:r>
    </w:p>
    <w:p>
      <w:pPr>
        <w:pStyle w:val="ListParagraph"/>
        <w:numPr>
          <w:ilvl w:val="0"/>
          <w:numId w:val="2"/>
        </w:numPr>
        <w:spacing w:before="50" w:after="50"/>
      </w:pPr>
      <w:r>
        <w:rPr>
          <w:rFonts w:ascii="Calibri" w:cs="Calibri" w:eastAsia="Calibri" w:hAnsi="Calibri"/>
          <w:b w:val="false"/>
          <w:bCs w:val="false"/>
          <w:color w:val="2C2C2C"/>
          <w:sz w:val="20"/>
          <w:szCs w:val="20"/>
        </w:rPr>
        <w:t xml:space="preserve">Ball tracking and shot classification — technically complex; requires stable player tracking first</w:t>
      </w:r>
    </w:p>
    <w:p>
      <w:pPr>
        <w:pStyle w:val="ListParagraph"/>
        <w:numPr>
          <w:ilvl w:val="0"/>
          <w:numId w:val="2"/>
        </w:numPr>
        <w:spacing w:before="50" w:after="50"/>
      </w:pPr>
      <w:r>
        <w:rPr>
          <w:rFonts w:ascii="Calibri" w:cs="Calibri" w:eastAsia="Calibri" w:hAnsi="Calibri"/>
          <w:b w:val="false"/>
          <w:bCs w:val="false"/>
          <w:color w:val="2C2C2C"/>
          <w:sz w:val="20"/>
          <w:szCs w:val="20"/>
        </w:rPr>
        <w:t xml:space="preserve">Tactical AI recommendations — requires a large match data corpus before reliable insights are possible</w:t>
      </w:r>
    </w:p>
    <w:p>
      <w:pPr>
        <w:pStyle w:val="ListParagraph"/>
        <w:numPr>
          <w:ilvl w:val="0"/>
          <w:numId w:val="2"/>
        </w:numPr>
        <w:spacing w:before="50" w:after="50"/>
      </w:pPr>
      <w:r>
        <w:rPr>
          <w:rFonts w:ascii="Calibri" w:cs="Calibri" w:eastAsia="Calibri" w:hAnsi="Calibri"/>
          <w:b w:val="false"/>
          <w:bCs w:val="false"/>
          <w:color w:val="2C2C2C"/>
          <w:sz w:val="20"/>
          <w:szCs w:val="20"/>
        </w:rPr>
        <w:t xml:space="preserve">Real-time live analysis — latency optimisation not justified until core offline product has demonstrated PMF</w:t>
      </w:r>
    </w:p>
    <w:p>
      <w:pPr>
        <w:pStyle w:val="ListParagraph"/>
        <w:numPr>
          <w:ilvl w:val="0"/>
          <w:numId w:val="2"/>
        </w:numPr>
        <w:spacing w:before="50" w:after="50"/>
      </w:pPr>
      <w:r>
        <w:rPr>
          <w:rFonts w:ascii="Calibri" w:cs="Calibri" w:eastAsia="Calibri" w:hAnsi="Calibri"/>
          <w:b w:val="false"/>
          <w:bCs w:val="false"/>
          <w:color w:val="2C2C2C"/>
          <w:sz w:val="20"/>
          <w:szCs w:val="20"/>
        </w:rPr>
        <w:t xml:space="preserve">Multi-player academy dashboard — important for B2B, but not the first product priority</w:t>
      </w:r>
    </w:p>
    <w:p>
      <w:pPr>
        <w:spacing w:before="0" w:after="0"/>
      </w:pPr>
      <w:r>
        <w:rPr>
          <w:sz w:val="14"/>
          <w:szCs w:val="14"/>
        </w:rPr>
        <w:t xml:space="preserve"/>
      </w:r>
    </w:p>
    <w:p>
      <w:pPr>
        <w:pStyle w:val="Heading2"/>
        <w:spacing w:before="280" w:after="100"/>
      </w:pPr>
      <w:r>
        <w:rPr>
          <w:rFonts w:ascii="Calibri" w:cs="Calibri" w:eastAsia="Calibri" w:hAnsi="Calibri"/>
          <w:b/>
          <w:bCs/>
          <w:color w:val="2E75B6"/>
          <w:sz w:val="27"/>
          <w:szCs w:val="27"/>
        </w:rPr>
        <w:t xml:space="preserve">3.4  Development Roadmap</w:t>
      </w:r>
    </w:p>
    <w:p>
      <w:pPr>
        <w:spacing w:before="60" w:after="80"/>
        <w:jc w:val="left"/>
      </w:pPr>
      <w:r>
        <w:rPr>
          <w:rFonts w:ascii="Calibri" w:cs="Calibri" w:eastAsia="Calibri" w:hAnsi="Calibri"/>
          <w:b w:val="false"/>
          <w:bCs w:val="false"/>
          <w:i w:val="false"/>
          <w:iCs w:val="false"/>
          <w:color w:val="2C2C2C"/>
          <w:sz w:val="20"/>
          <w:szCs w:val="20"/>
        </w:rPr>
        <w:t xml:space="preserve">The roadmap below reflects the reality that SquashVision is being built as a focused side project alongside academic commitments. Each phase has a single clear goal and does not require the previous phase to be fully commercialised before work on the next begins. The timeline is indicative rather than fixed.</w:t>
      </w:r>
    </w:p>
    <w:p>
      <w:pPr>
        <w:spacing w:before="0" w:after="0"/>
      </w:pPr>
      <w:r>
        <w:rPr>
          <w:sz w:val="14"/>
          <w:szCs w:val="14"/>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480"/>
        <w:gridCol w:w="3200"/>
      </w:tblGrid>
      <w:tr>
        <w:tc>
          <w:tcPr>
            <w:tcW w:type="dxa" w:w="1600"/>
            <w:tcBorders>
              <w:top w:val="single" w:color="1F3864" w:sz="1"/>
              <w:left w:val="single" w:color="1F3864" w:sz="1"/>
              <w:bottom w:val="single" w:color="1F3864" w:sz="1"/>
              <w:right w:val="single" w:color="1F3864" w:sz="1"/>
            </w:tcBorders>
            <w:shd w:fill="1F3864" w:val="clear"/>
            <w:tcMar>
              <w:top w:type="dxa" w:w="110"/>
              <w:left w:type="dxa" w:w="160"/>
              <w:bottom w:type="dxa" w:w="110"/>
              <w:right w:type="dxa" w:w="160"/>
            </w:tcMar>
          </w:tcPr>
          <w:p>
            <w:pPr>
              <w:jc w:val="left"/>
            </w:pPr>
            <w:r>
              <w:rPr>
                <w:rFonts w:ascii="Calibri" w:cs="Calibri" w:eastAsia="Calibri" w:hAnsi="Calibri"/>
                <w:b/>
                <w:bCs/>
                <w:i w:val="false"/>
                <w:iCs w:val="false"/>
                <w:color w:val="FFFFFF"/>
                <w:sz w:val="19"/>
                <w:szCs w:val="19"/>
              </w:rPr>
              <w:t xml:space="preserve">Phase</w:t>
            </w:r>
          </w:p>
        </w:tc>
        <w:tc>
          <w:tcPr>
            <w:tcW w:type="dxa" w:w="1800"/>
            <w:tcBorders>
              <w:top w:val="single" w:color="1F3864" w:sz="1"/>
              <w:left w:val="single" w:color="1F3864" w:sz="1"/>
              <w:bottom w:val="single" w:color="1F3864" w:sz="1"/>
              <w:right w:val="single" w:color="1F3864" w:sz="1"/>
            </w:tcBorders>
            <w:shd w:fill="1F3864" w:val="clear"/>
            <w:tcMar>
              <w:top w:type="dxa" w:w="110"/>
              <w:left w:type="dxa" w:w="160"/>
              <w:bottom w:type="dxa" w:w="110"/>
              <w:right w:type="dxa" w:w="160"/>
            </w:tcMar>
          </w:tcPr>
          <w:p>
            <w:pPr>
              <w:jc w:val="left"/>
            </w:pPr>
            <w:r>
              <w:rPr>
                <w:rFonts w:ascii="Calibri" w:cs="Calibri" w:eastAsia="Calibri" w:hAnsi="Calibri"/>
                <w:b/>
                <w:bCs/>
                <w:i w:val="false"/>
                <w:iCs w:val="false"/>
                <w:color w:val="FFFFFF"/>
                <w:sz w:val="19"/>
                <w:szCs w:val="19"/>
              </w:rPr>
              <w:t xml:space="preserve">Horizon</w:t>
            </w:r>
          </w:p>
        </w:tc>
        <w:tc>
          <w:tcPr>
            <w:tcW w:type="dxa" w:w="3480"/>
            <w:tcBorders>
              <w:top w:val="single" w:color="1F3864" w:sz="1"/>
              <w:left w:val="single" w:color="1F3864" w:sz="1"/>
              <w:bottom w:val="single" w:color="1F3864" w:sz="1"/>
              <w:right w:val="single" w:color="1F3864" w:sz="1"/>
            </w:tcBorders>
            <w:shd w:fill="1F3864" w:val="clear"/>
            <w:tcMar>
              <w:top w:type="dxa" w:w="110"/>
              <w:left w:type="dxa" w:w="160"/>
              <w:bottom w:type="dxa" w:w="110"/>
              <w:right w:type="dxa" w:w="160"/>
            </w:tcMar>
          </w:tcPr>
          <w:p>
            <w:pPr>
              <w:jc w:val="left"/>
            </w:pPr>
            <w:r>
              <w:rPr>
                <w:rFonts w:ascii="Calibri" w:cs="Calibri" w:eastAsia="Calibri" w:hAnsi="Calibri"/>
                <w:b/>
                <w:bCs/>
                <w:i w:val="false"/>
                <w:iCs w:val="false"/>
                <w:color w:val="FFFFFF"/>
                <w:sz w:val="19"/>
                <w:szCs w:val="19"/>
              </w:rPr>
              <w:t xml:space="preserve">Focus</w:t>
            </w:r>
          </w:p>
        </w:tc>
        <w:tc>
          <w:tcPr>
            <w:tcW w:type="dxa" w:w="3200"/>
            <w:tcBorders>
              <w:top w:val="single" w:color="1F3864" w:sz="1"/>
              <w:left w:val="single" w:color="1F3864" w:sz="1"/>
              <w:bottom w:val="single" w:color="1F3864" w:sz="1"/>
              <w:right w:val="single" w:color="1F3864" w:sz="1"/>
            </w:tcBorders>
            <w:shd w:fill="1F3864" w:val="clear"/>
            <w:tcMar>
              <w:top w:type="dxa" w:w="110"/>
              <w:left w:type="dxa" w:w="160"/>
              <w:bottom w:type="dxa" w:w="110"/>
              <w:right w:type="dxa" w:w="160"/>
            </w:tcMar>
          </w:tcPr>
          <w:p>
            <w:pPr>
              <w:jc w:val="left"/>
            </w:pPr>
            <w:r>
              <w:rPr>
                <w:rFonts w:ascii="Calibri" w:cs="Calibri" w:eastAsia="Calibri" w:hAnsi="Calibri"/>
                <w:b/>
                <w:bCs/>
                <w:i w:val="false"/>
                <w:iCs w:val="false"/>
                <w:color w:val="FFFFFF"/>
                <w:sz w:val="19"/>
                <w:szCs w:val="19"/>
              </w:rPr>
              <w:t xml:space="preserve">Success Criterion</w:t>
            </w:r>
          </w:p>
        </w:tc>
      </w:tr>
      <w:tr>
        <w:tc>
          <w:tcPr>
            <w:tcW w:type="dxa" w:w="16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bCs/>
                <w:i w:val="false"/>
                <w:iCs w:val="false"/>
                <w:color w:val="2C2C2C"/>
                <w:sz w:val="19"/>
                <w:szCs w:val="19"/>
              </w:rPr>
              <w:t xml:space="preserve">Phase 0 — Validate</w:t>
            </w:r>
          </w:p>
        </w:tc>
        <w:tc>
          <w:tcPr>
            <w:tcW w:type="dxa" w:w="18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Now — 6 months</w:t>
            </w:r>
          </w:p>
        </w:tc>
        <w:tc>
          <w:tcPr>
            <w:tcW w:type="dxa" w:w="348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Give free access to 20–30 competitive squash players at IIT Kanpur and nearby clubs. Collect structured feedback on whether the reports are genuinely useful — not just technically impressive.</w:t>
            </w:r>
          </w:p>
        </w:tc>
        <w:tc>
          <w:tcPr>
            <w:tcW w:type="dxa" w:w="32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At least 60% of test users say they would actively recommend the product to a training partner.</w:t>
            </w:r>
          </w:p>
        </w:tc>
      </w:tr>
      <w:tr>
        <w:tc>
          <w:tcPr>
            <w:tcW w:type="dxa" w:w="16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bCs/>
                <w:i w:val="false"/>
                <w:iCs w:val="false"/>
                <w:color w:val="2C2C2C"/>
                <w:sz w:val="19"/>
                <w:szCs w:val="19"/>
              </w:rPr>
              <w:t xml:space="preserve">Phase 1 — Early Product</w:t>
            </w:r>
          </w:p>
        </w:tc>
        <w:tc>
          <w:tcPr>
            <w:tcW w:type="dxa" w:w="18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6–18 months</w:t>
            </w:r>
          </w:p>
        </w:tc>
        <w:tc>
          <w:tcPr>
            <w:tcW w:type="dxa" w:w="348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Build a clean, shareable product experience around the core engine. Partner with 3–5 academies in Chennai, Mumbai, or Delhi for structured trials. No monetisation pressure at this stage — the goal is product quality and early word-of-mouth.</w:t>
            </w:r>
          </w:p>
        </w:tc>
        <w:tc>
          <w:tcPr>
            <w:tcW w:type="dxa" w:w="32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100–300 active users. At least 3 academy partnerships. Consistent positive NPS from trial users.</w:t>
            </w:r>
          </w:p>
        </w:tc>
      </w:tr>
      <w:tr>
        <w:tc>
          <w:tcPr>
            <w:tcW w:type="dxa" w:w="16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bCs/>
                <w:i w:val="false"/>
                <w:iCs w:val="false"/>
                <w:color w:val="2C2C2C"/>
                <w:sz w:val="19"/>
                <w:szCs w:val="19"/>
              </w:rPr>
              <w:t xml:space="preserve">Phase 2 — India Launch</w:t>
            </w:r>
          </w:p>
        </w:tc>
        <w:tc>
          <w:tcPr>
            <w:tcW w:type="dxa" w:w="18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18–36 months</w:t>
            </w:r>
          </w:p>
        </w:tc>
        <w:tc>
          <w:tcPr>
            <w:tcW w:type="dxa" w:w="348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Introduce paid tiers once the free product has demonstrated clear, repeatable value. Use the SRFI India Squash Tour's 6-city infrastructure as the primary distribution channel. Begin monetising the most engaged users with a Pro plan.</w:t>
            </w:r>
          </w:p>
        </w:tc>
        <w:tc>
          <w:tcPr>
            <w:tcW w:type="dxa" w:w="32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500+ paying users. 10+ academy partnerships. First ₹10–20 lakh in annual recurring revenue.</w:t>
            </w:r>
          </w:p>
        </w:tc>
      </w:tr>
      <w:tr>
        <w:tc>
          <w:tcPr>
            <w:tcW w:type="dxa" w:w="16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bCs/>
                <w:i w:val="false"/>
                <w:iCs w:val="false"/>
                <w:color w:val="2C2C2C"/>
                <w:sz w:val="19"/>
                <w:szCs w:val="19"/>
              </w:rPr>
              <w:t xml:space="preserve">Phase 3 — International</w:t>
            </w:r>
          </w:p>
        </w:tc>
        <w:tc>
          <w:tcPr>
            <w:tcW w:type="dxa" w:w="18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3–5 years</w:t>
            </w:r>
          </w:p>
        </w:tc>
        <w:tc>
          <w:tcPr>
            <w:tcW w:type="dxa" w:w="348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Expand to England, Egypt, and Australia — the three largest squash markets outside India. Time the expansion to coincide with the 2028 Olympics awareness wave. Begin building advanced features (ball tracking, tactical AI) as the user data corpus grows.</w:t>
            </w:r>
          </w:p>
        </w:tc>
        <w:tc>
          <w:tcPr>
            <w:tcW w:type="dxa" w:w="32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2,000–5,000 international users. Multi-country presence. $200–500K ARR.</w:t>
            </w:r>
          </w:p>
        </w:tc>
      </w:tr>
    </w:tbl>
    <w:p>
      <w:pPr>
        <w:spacing w:before="0" w:after="0"/>
      </w:pPr>
      <w:r>
        <w:rPr>
          <w:sz w:val="14"/>
          <w:szCs w:val="14"/>
        </w:rPr>
        <w:t xml:space="preserve"/>
      </w:r>
    </w:p>
    <w:p>
      <w:pPr>
        <w:pStyle w:val="Heading2"/>
        <w:spacing w:before="280" w:after="100"/>
      </w:pPr>
      <w:r>
        <w:rPr>
          <w:rFonts w:ascii="Calibri" w:cs="Calibri" w:eastAsia="Calibri" w:hAnsi="Calibri"/>
          <w:b/>
          <w:bCs/>
          <w:color w:val="2E75B6"/>
          <w:sz w:val="27"/>
          <w:szCs w:val="27"/>
        </w:rPr>
        <w:t xml:space="preserve">3.5  Growth Loops</w:t>
      </w:r>
    </w:p>
    <w:p>
      <w:pPr>
        <w:spacing w:before="60" w:after="80"/>
        <w:jc w:val="left"/>
      </w:pPr>
      <w:r>
        <w:rPr>
          <w:rFonts w:ascii="Calibri" w:cs="Calibri" w:eastAsia="Calibri" w:hAnsi="Calibri"/>
          <w:b w:val="false"/>
          <w:bCs w:val="false"/>
          <w:i w:val="false"/>
          <w:iCs w:val="false"/>
          <w:color w:val="2C2C2C"/>
          <w:sz w:val="20"/>
          <w:szCs w:val="20"/>
        </w:rPr>
        <w:t xml:space="preserve">Three distinct growth mechanisms will operate at different timescales once the product is in market.</w:t>
      </w:r>
    </w:p>
    <w:p>
      <w:pPr>
        <w:spacing w:before="0" w:after="0"/>
      </w:pPr>
      <w:r>
        <w:rPr>
          <w:sz w:val="14"/>
          <w:szCs w:val="14"/>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5880"/>
        <w:gridCol w:w="2000"/>
      </w:tblGrid>
      <w:tr>
        <w:tc>
          <w:tcPr>
            <w:tcW w:type="dxa" w:w="2200"/>
            <w:tcBorders>
              <w:top w:val="single" w:color="1F3864" w:sz="1"/>
              <w:left w:val="single" w:color="1F3864" w:sz="1"/>
              <w:bottom w:val="single" w:color="1F3864" w:sz="1"/>
              <w:right w:val="single" w:color="1F3864" w:sz="1"/>
            </w:tcBorders>
            <w:shd w:fill="1A5276" w:val="clear"/>
            <w:tcMar>
              <w:top w:type="dxa" w:w="110"/>
              <w:left w:type="dxa" w:w="160"/>
              <w:bottom w:type="dxa" w:w="110"/>
              <w:right w:type="dxa" w:w="160"/>
            </w:tcMar>
          </w:tcPr>
          <w:p>
            <w:pPr>
              <w:jc w:val="left"/>
            </w:pPr>
            <w:r>
              <w:rPr>
                <w:rFonts w:ascii="Calibri" w:cs="Calibri" w:eastAsia="Calibri" w:hAnsi="Calibri"/>
                <w:b/>
                <w:bCs/>
                <w:i w:val="false"/>
                <w:iCs w:val="false"/>
                <w:color w:val="FFFFFF"/>
                <w:sz w:val="19"/>
                <w:szCs w:val="19"/>
              </w:rPr>
              <w:t xml:space="preserve">Loop</w:t>
            </w:r>
          </w:p>
        </w:tc>
        <w:tc>
          <w:tcPr>
            <w:tcW w:type="dxa" w:w="5880"/>
            <w:tcBorders>
              <w:top w:val="single" w:color="1F3864" w:sz="1"/>
              <w:left w:val="single" w:color="1F3864" w:sz="1"/>
              <w:bottom w:val="single" w:color="1F3864" w:sz="1"/>
              <w:right w:val="single" w:color="1F3864" w:sz="1"/>
            </w:tcBorders>
            <w:shd w:fill="1A5276" w:val="clear"/>
            <w:tcMar>
              <w:top w:type="dxa" w:w="110"/>
              <w:left w:type="dxa" w:w="160"/>
              <w:bottom w:type="dxa" w:w="110"/>
              <w:right w:type="dxa" w:w="160"/>
            </w:tcMar>
          </w:tcPr>
          <w:p>
            <w:pPr>
              <w:jc w:val="left"/>
            </w:pPr>
            <w:r>
              <w:rPr>
                <w:rFonts w:ascii="Calibri" w:cs="Calibri" w:eastAsia="Calibri" w:hAnsi="Calibri"/>
                <w:b/>
                <w:bCs/>
                <w:i w:val="false"/>
                <w:iCs w:val="false"/>
                <w:color w:val="FFFFFF"/>
                <w:sz w:val="19"/>
                <w:szCs w:val="19"/>
              </w:rPr>
              <w:t xml:space="preserve">How It Works</w:t>
            </w:r>
          </w:p>
        </w:tc>
        <w:tc>
          <w:tcPr>
            <w:tcW w:type="dxa" w:w="2000"/>
            <w:tcBorders>
              <w:top w:val="single" w:color="1F3864" w:sz="1"/>
              <w:left w:val="single" w:color="1F3864" w:sz="1"/>
              <w:bottom w:val="single" w:color="1F3864" w:sz="1"/>
              <w:right w:val="single" w:color="1F3864" w:sz="1"/>
            </w:tcBorders>
            <w:shd w:fill="1A5276" w:val="clear"/>
            <w:tcMar>
              <w:top w:type="dxa" w:w="110"/>
              <w:left w:type="dxa" w:w="160"/>
              <w:bottom w:type="dxa" w:w="110"/>
              <w:right w:type="dxa" w:w="160"/>
            </w:tcMar>
          </w:tcPr>
          <w:p>
            <w:pPr>
              <w:jc w:val="left"/>
            </w:pPr>
            <w:r>
              <w:rPr>
                <w:rFonts w:ascii="Calibri" w:cs="Calibri" w:eastAsia="Calibri" w:hAnsi="Calibri"/>
                <w:b/>
                <w:bCs/>
                <w:i w:val="false"/>
                <w:iCs w:val="false"/>
                <w:color w:val="FFFFFF"/>
                <w:sz w:val="19"/>
                <w:szCs w:val="19"/>
              </w:rPr>
              <w:t xml:space="preserve">When It Activates</w:t>
            </w:r>
          </w:p>
        </w:tc>
      </w:tr>
      <w:tr>
        <w:tc>
          <w:tcPr>
            <w:tcW w:type="dxa" w:w="22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Viral share loop</w:t>
            </w:r>
          </w:p>
        </w:tc>
        <w:tc>
          <w:tcPr>
            <w:tcW w:type="dxa" w:w="588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A player uploads a match and receives a heatmap report. They share it on Instagram. Other players see it and sign up. Heatmaps are inherently visual and shareable — this is the same loop that drove SwingVision's early user growth.</w:t>
            </w:r>
          </w:p>
        </w:tc>
        <w:tc>
          <w:tcPr>
            <w:tcW w:type="dxa" w:w="20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From Phase 1 onwards</w:t>
            </w:r>
          </w:p>
        </w:tc>
      </w:tr>
      <w:tr>
        <w:tc>
          <w:tcPr>
            <w:tcW w:type="dxa" w:w="22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Coach flywheel</w:t>
            </w:r>
          </w:p>
        </w:tc>
        <w:tc>
          <w:tcPr>
            <w:tcW w:type="dxa" w:w="588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One academy partnership exposes 20–30 students to the product. A subset converts to individual plans independently. Each converted student recommends to training partners. One academy generates 3–5 organic individual subscribers on average.</w:t>
            </w:r>
          </w:p>
        </w:tc>
        <w:tc>
          <w:tcPr>
            <w:tcW w:type="dxa" w:w="20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Phase 1–2</w:t>
            </w:r>
          </w:p>
        </w:tc>
      </w:tr>
      <w:tr>
        <w:tc>
          <w:tcPr>
            <w:tcW w:type="dxa" w:w="22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Tournament pipeline</w:t>
            </w:r>
          </w:p>
        </w:tc>
        <w:tc>
          <w:tcPr>
            <w:tcW w:type="dxa" w:w="588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Free match analysis offered at national and state tournaments. The SRFI India Squash Tour across 6 cities provides recurring structured acquisition events. Each tournament is a concentrated opportunity to onboard motivated, competitive users.</w:t>
            </w:r>
          </w:p>
        </w:tc>
        <w:tc>
          <w:tcPr>
            <w:tcW w:type="dxa" w:w="20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Phase 2 onwards</w:t>
            </w:r>
          </w:p>
        </w:tc>
      </w:tr>
      <w:tr>
        <w:tc>
          <w:tcPr>
            <w:tcW w:type="dxa" w:w="22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Olympics tailwind</w:t>
            </w:r>
          </w:p>
        </w:tc>
        <w:tc>
          <w:tcPr>
            <w:tcW w:type="dxa" w:w="588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Media coverage of squash at LA 2028 will drive organic search for squash technology. SEO content and brand presence built during Phase 1–2 will capture this inbound demand without additional acquisition spend.</w:t>
            </w:r>
          </w:p>
        </w:tc>
        <w:tc>
          <w:tcPr>
            <w:tcW w:type="dxa" w:w="20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2027–2028</w:t>
            </w:r>
          </w:p>
        </w:tc>
      </w:tr>
    </w:tbl>
    <w:p>
      <w:pPr>
        <w:spacing w:before="0" w:after="0"/>
      </w:pPr>
      <w:r>
        <w:rPr>
          <w:sz w:val="14"/>
          <w:szCs w:val="14"/>
        </w:rPr>
        <w:t xml:space="preserve"/>
      </w:r>
    </w:p>
    <w:p>
      <w:pPr>
        <w:pStyle w:val="Heading2"/>
        <w:spacing w:before="280" w:after="100"/>
      </w:pPr>
      <w:r>
        <w:rPr>
          <w:rFonts w:ascii="Calibri" w:cs="Calibri" w:eastAsia="Calibri" w:hAnsi="Calibri"/>
          <w:b/>
          <w:bCs/>
          <w:color w:val="2E75B6"/>
          <w:sz w:val="27"/>
          <w:szCs w:val="27"/>
        </w:rPr>
        <w:t xml:space="preserve">3.6  Business Model</w:t>
      </w:r>
    </w:p>
    <w:p>
      <w:pPr>
        <w:spacing w:before="0" w:after="0"/>
      </w:pPr>
      <w:r>
        <w:rPr>
          <w:sz w:val="14"/>
          <w:szCs w:val="14"/>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2400"/>
        <w:gridCol w:w="3720"/>
        <w:gridCol w:w="2280"/>
      </w:tblGrid>
      <w:tr>
        <w:tc>
          <w:tcPr>
            <w:tcW w:type="dxa" w:w="1680"/>
            <w:tcBorders>
              <w:top w:val="single" w:color="1F3864" w:sz="1"/>
              <w:left w:val="single" w:color="1F3864" w:sz="1"/>
              <w:bottom w:val="single" w:color="1F3864" w:sz="1"/>
              <w:right w:val="single" w:color="1F3864" w:sz="1"/>
            </w:tcBorders>
            <w:shd w:fill="1F3864" w:val="clear"/>
            <w:tcMar>
              <w:top w:type="dxa" w:w="110"/>
              <w:left w:type="dxa" w:w="160"/>
              <w:bottom w:type="dxa" w:w="110"/>
              <w:right w:type="dxa" w:w="160"/>
            </w:tcMar>
          </w:tcPr>
          <w:p>
            <w:pPr>
              <w:jc w:val="left"/>
            </w:pPr>
            <w:r>
              <w:rPr>
                <w:rFonts w:ascii="Calibri" w:cs="Calibri" w:eastAsia="Calibri" w:hAnsi="Calibri"/>
                <w:b/>
                <w:bCs/>
                <w:i w:val="false"/>
                <w:iCs w:val="false"/>
                <w:color w:val="FFFFFF"/>
                <w:sz w:val="19"/>
                <w:szCs w:val="19"/>
              </w:rPr>
              <w:t xml:space="preserve">Tier</w:t>
            </w:r>
          </w:p>
        </w:tc>
        <w:tc>
          <w:tcPr>
            <w:tcW w:type="dxa" w:w="2400"/>
            <w:tcBorders>
              <w:top w:val="single" w:color="1F3864" w:sz="1"/>
              <w:left w:val="single" w:color="1F3864" w:sz="1"/>
              <w:bottom w:val="single" w:color="1F3864" w:sz="1"/>
              <w:right w:val="single" w:color="1F3864" w:sz="1"/>
            </w:tcBorders>
            <w:shd w:fill="1F3864" w:val="clear"/>
            <w:tcMar>
              <w:top w:type="dxa" w:w="110"/>
              <w:left w:type="dxa" w:w="160"/>
              <w:bottom w:type="dxa" w:w="110"/>
              <w:right w:type="dxa" w:w="160"/>
            </w:tcMar>
          </w:tcPr>
          <w:p>
            <w:pPr>
              <w:jc w:val="left"/>
            </w:pPr>
            <w:r>
              <w:rPr>
                <w:rFonts w:ascii="Calibri" w:cs="Calibri" w:eastAsia="Calibri" w:hAnsi="Calibri"/>
                <w:b/>
                <w:bCs/>
                <w:i w:val="false"/>
                <w:iCs w:val="false"/>
                <w:color w:val="FFFFFF"/>
                <w:sz w:val="19"/>
                <w:szCs w:val="19"/>
              </w:rPr>
              <w:t xml:space="preserve">Price</w:t>
            </w:r>
          </w:p>
        </w:tc>
        <w:tc>
          <w:tcPr>
            <w:tcW w:type="dxa" w:w="3720"/>
            <w:tcBorders>
              <w:top w:val="single" w:color="1F3864" w:sz="1"/>
              <w:left w:val="single" w:color="1F3864" w:sz="1"/>
              <w:bottom w:val="single" w:color="1F3864" w:sz="1"/>
              <w:right w:val="single" w:color="1F3864" w:sz="1"/>
            </w:tcBorders>
            <w:shd w:fill="1F3864" w:val="clear"/>
            <w:tcMar>
              <w:top w:type="dxa" w:w="110"/>
              <w:left w:type="dxa" w:w="160"/>
              <w:bottom w:type="dxa" w:w="110"/>
              <w:right w:type="dxa" w:w="160"/>
            </w:tcMar>
          </w:tcPr>
          <w:p>
            <w:pPr>
              <w:jc w:val="left"/>
            </w:pPr>
            <w:r>
              <w:rPr>
                <w:rFonts w:ascii="Calibri" w:cs="Calibri" w:eastAsia="Calibri" w:hAnsi="Calibri"/>
                <w:b/>
                <w:bCs/>
                <w:i w:val="false"/>
                <w:iCs w:val="false"/>
                <w:color w:val="FFFFFF"/>
                <w:sz w:val="19"/>
                <w:szCs w:val="19"/>
              </w:rPr>
              <w:t xml:space="preserve">Features Included</w:t>
            </w:r>
          </w:p>
        </w:tc>
        <w:tc>
          <w:tcPr>
            <w:tcW w:type="dxa" w:w="2280"/>
            <w:tcBorders>
              <w:top w:val="single" w:color="1F3864" w:sz="1"/>
              <w:left w:val="single" w:color="1F3864" w:sz="1"/>
              <w:bottom w:val="single" w:color="1F3864" w:sz="1"/>
              <w:right w:val="single" w:color="1F3864" w:sz="1"/>
            </w:tcBorders>
            <w:shd w:fill="1F3864" w:val="clear"/>
            <w:tcMar>
              <w:top w:type="dxa" w:w="110"/>
              <w:left w:type="dxa" w:w="160"/>
              <w:bottom w:type="dxa" w:w="110"/>
              <w:right w:type="dxa" w:w="160"/>
            </w:tcMar>
          </w:tcPr>
          <w:p>
            <w:pPr>
              <w:jc w:val="left"/>
            </w:pPr>
            <w:r>
              <w:rPr>
                <w:rFonts w:ascii="Calibri" w:cs="Calibri" w:eastAsia="Calibri" w:hAnsi="Calibri"/>
                <w:b/>
                <w:bCs/>
                <w:i w:val="false"/>
                <w:iCs w:val="false"/>
                <w:color w:val="FFFFFF"/>
                <w:sz w:val="19"/>
                <w:szCs w:val="19"/>
              </w:rPr>
              <w:t xml:space="preserve">Target Segment</w:t>
            </w:r>
          </w:p>
        </w:tc>
      </w:tr>
      <w:tr>
        <w:tc>
          <w:tcPr>
            <w:tcW w:type="dxa" w:w="168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Free</w:t>
            </w:r>
          </w:p>
        </w:tc>
        <w:tc>
          <w:tcPr>
            <w:tcW w:type="dxa" w:w="24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₹0 / $0</w:t>
            </w:r>
          </w:p>
        </w:tc>
        <w:tc>
          <w:tcPr>
            <w:tcW w:type="dxa" w:w="372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2 match uploads per month. Basic heatmap and T-control percentage. No match history.</w:t>
            </w:r>
          </w:p>
        </w:tc>
        <w:tc>
          <w:tcPr>
            <w:tcW w:type="dxa" w:w="228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User acquisition and virality</w:t>
            </w:r>
          </w:p>
        </w:tc>
      </w:tr>
      <w:tr>
        <w:tc>
          <w:tcPr>
            <w:tcW w:type="dxa" w:w="168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Pro — Individual</w:t>
            </w:r>
          </w:p>
        </w:tc>
        <w:tc>
          <w:tcPr>
            <w:tcW w:type="dxa" w:w="24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₹999/month (~$12)  |  $14.99/month international</w:t>
            </w:r>
          </w:p>
        </w:tc>
        <w:tc>
          <w:tcPr>
            <w:tcW w:type="dxa" w:w="372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Unlimited uploads. Full statistics suite. Complete match history. Shareable reports.</w:t>
            </w:r>
          </w:p>
        </w:tc>
        <w:tc>
          <w:tcPr>
            <w:tcW w:type="dxa" w:w="228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Competitive and serious club players</w:t>
            </w:r>
          </w:p>
        </w:tc>
      </w:tr>
      <w:tr>
        <w:tc>
          <w:tcPr>
            <w:tcW w:type="dxa" w:w="168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Academy</w:t>
            </w:r>
          </w:p>
        </w:tc>
        <w:tc>
          <w:tcPr>
            <w:tcW w:type="dxa" w:w="24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₹4,999/month (~$60)  |  $79/month international</w:t>
            </w:r>
          </w:p>
        </w:tc>
        <w:tc>
          <w:tcPr>
            <w:tcW w:type="dxa" w:w="372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Up to 25 player accounts. Coach dashboard with comparative analytics.</w:t>
            </w:r>
          </w:p>
        </w:tc>
        <w:tc>
          <w:tcPr>
            <w:tcW w:type="dxa" w:w="228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Squash coaches and academies</w:t>
            </w:r>
          </w:p>
        </w:tc>
      </w:tr>
      <w:tr>
        <w:tc>
          <w:tcPr>
            <w:tcW w:type="dxa" w:w="168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Federation / Enterprise</w:t>
            </w:r>
          </w:p>
        </w:tc>
        <w:tc>
          <w:tcPr>
            <w:tcW w:type="dxa" w:w="24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Custom</w:t>
            </w:r>
          </w:p>
        </w:tc>
        <w:tc>
          <w:tcPr>
            <w:tcW w:type="dxa" w:w="372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Unlimited players. API data access. National federation integration. White-label option.</w:t>
            </w:r>
          </w:p>
        </w:tc>
        <w:tc>
          <w:tcPr>
            <w:tcW w:type="dxa" w:w="228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SRFI, national squads, large clubs</w:t>
            </w:r>
          </w:p>
        </w:tc>
      </w:tr>
    </w:tbl>
    <w:p>
      <w:pPr>
        <w:spacing w:before="60" w:after="80"/>
        <w:jc w:val="left"/>
      </w:pPr>
      <w:r>
        <w:rPr>
          <w:rFonts w:ascii="Calibri" w:cs="Calibri" w:eastAsia="Calibri" w:hAnsi="Calibri"/>
          <w:b w:val="false"/>
          <w:bCs w:val="false"/>
          <w:i/>
          <w:iCs/>
          <w:color w:val="666666"/>
          <w:sz w:val="20"/>
          <w:szCs w:val="20"/>
        </w:rPr>
        <w:t xml:space="preserve">Pricing anchor: SwingVision's blended ARPU of $137 per subscriber per year validates the SquashVision Pro tier at ~$144 per year ($12/month × 12). The models are directly comparable.</w:t>
      </w:r>
    </w:p>
    <w:p>
      <w:pPr>
        <w:spacing w:before="0" w:after="0"/>
      </w:pPr>
      <w:r>
        <w:rPr>
          <w:sz w:val="14"/>
          <w:szCs w:val="14"/>
        </w:rPr>
        <w:t xml:space="preserve"/>
      </w:r>
    </w:p>
    <w:p>
      <w:pPr>
        <w:pStyle w:val="Heading2"/>
        <w:spacing w:before="280" w:after="100"/>
      </w:pPr>
      <w:r>
        <w:rPr>
          <w:rFonts w:ascii="Calibri" w:cs="Calibri" w:eastAsia="Calibri" w:hAnsi="Calibri"/>
          <w:b/>
          <w:bCs/>
          <w:color w:val="2E75B6"/>
          <w:sz w:val="27"/>
          <w:szCs w:val="27"/>
        </w:rPr>
        <w:t xml:space="preserve">3.7  Key Metrics Framework</w:t>
      </w:r>
    </w:p>
    <w:p>
      <w:pPr>
        <w:spacing w:before="60" w:after="80"/>
        <w:jc w:val="left"/>
      </w:pPr>
      <w:r>
        <w:rPr>
          <w:rFonts w:ascii="Calibri" w:cs="Calibri" w:eastAsia="Calibri" w:hAnsi="Calibri"/>
          <w:b w:val="false"/>
          <w:bCs w:val="false"/>
          <w:i w:val="false"/>
          <w:iCs w:val="false"/>
          <w:color w:val="2C2C2C"/>
          <w:sz w:val="20"/>
          <w:szCs w:val="20"/>
        </w:rPr>
        <w:t xml:space="preserve">The metrics below define what success looks like at each stage. In the validation and early product phases, the priority metrics are engagement and NPS — not revenue. Monetisation metrics become primary only from Phase 2 onward.</w:t>
      </w:r>
    </w:p>
    <w:p>
      <w:pPr>
        <w:spacing w:before="0" w:after="0"/>
      </w:pPr>
      <w:r>
        <w:rPr>
          <w:sz w:val="14"/>
          <w:szCs w:val="14"/>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3360"/>
        <w:gridCol w:w="2200"/>
        <w:gridCol w:w="2000"/>
      </w:tblGrid>
      <w:tr>
        <w:tc>
          <w:tcPr>
            <w:tcW w:type="dxa" w:w="2520"/>
            <w:tcBorders>
              <w:top w:val="single" w:color="1F3864" w:sz="1"/>
              <w:left w:val="single" w:color="1F3864" w:sz="1"/>
              <w:bottom w:val="single" w:color="1F3864" w:sz="1"/>
              <w:right w:val="single" w:color="1F3864" w:sz="1"/>
            </w:tcBorders>
            <w:shd w:fill="1A5276" w:val="clear"/>
            <w:tcMar>
              <w:top w:type="dxa" w:w="110"/>
              <w:left w:type="dxa" w:w="160"/>
              <w:bottom w:type="dxa" w:w="110"/>
              <w:right w:type="dxa" w:w="160"/>
            </w:tcMar>
          </w:tcPr>
          <w:p>
            <w:pPr>
              <w:jc w:val="left"/>
            </w:pPr>
            <w:r>
              <w:rPr>
                <w:rFonts w:ascii="Calibri" w:cs="Calibri" w:eastAsia="Calibri" w:hAnsi="Calibri"/>
                <w:b/>
                <w:bCs/>
                <w:i w:val="false"/>
                <w:iCs w:val="false"/>
                <w:color w:val="FFFFFF"/>
                <w:sz w:val="19"/>
                <w:szCs w:val="19"/>
              </w:rPr>
              <w:t xml:space="preserve">Metric</w:t>
            </w:r>
          </w:p>
        </w:tc>
        <w:tc>
          <w:tcPr>
            <w:tcW w:type="dxa" w:w="3360"/>
            <w:tcBorders>
              <w:top w:val="single" w:color="1F3864" w:sz="1"/>
              <w:left w:val="single" w:color="1F3864" w:sz="1"/>
              <w:bottom w:val="single" w:color="1F3864" w:sz="1"/>
              <w:right w:val="single" w:color="1F3864" w:sz="1"/>
            </w:tcBorders>
            <w:shd w:fill="1A5276" w:val="clear"/>
            <w:tcMar>
              <w:top w:type="dxa" w:w="110"/>
              <w:left w:type="dxa" w:w="160"/>
              <w:bottom w:type="dxa" w:w="110"/>
              <w:right w:type="dxa" w:w="160"/>
            </w:tcMar>
          </w:tcPr>
          <w:p>
            <w:pPr>
              <w:jc w:val="left"/>
            </w:pPr>
            <w:r>
              <w:rPr>
                <w:rFonts w:ascii="Calibri" w:cs="Calibri" w:eastAsia="Calibri" w:hAnsi="Calibri"/>
                <w:b/>
                <w:bCs/>
                <w:i w:val="false"/>
                <w:iCs w:val="false"/>
                <w:color w:val="FFFFFF"/>
                <w:sz w:val="19"/>
                <w:szCs w:val="19"/>
              </w:rPr>
              <w:t xml:space="preserve">Why It Matters</w:t>
            </w:r>
          </w:p>
        </w:tc>
        <w:tc>
          <w:tcPr>
            <w:tcW w:type="dxa" w:w="2200"/>
            <w:tcBorders>
              <w:top w:val="single" w:color="1F3864" w:sz="1"/>
              <w:left w:val="single" w:color="1F3864" w:sz="1"/>
              <w:bottom w:val="single" w:color="1F3864" w:sz="1"/>
              <w:right w:val="single" w:color="1F3864" w:sz="1"/>
            </w:tcBorders>
            <w:shd w:fill="1A5276" w:val="clear"/>
            <w:tcMar>
              <w:top w:type="dxa" w:w="110"/>
              <w:left w:type="dxa" w:w="160"/>
              <w:bottom w:type="dxa" w:w="110"/>
              <w:right w:type="dxa" w:w="160"/>
            </w:tcMar>
          </w:tcPr>
          <w:p>
            <w:pPr>
              <w:jc w:val="left"/>
            </w:pPr>
            <w:r>
              <w:rPr>
                <w:rFonts w:ascii="Calibri" w:cs="Calibri" w:eastAsia="Calibri" w:hAnsi="Calibri"/>
                <w:b/>
                <w:bCs/>
                <w:i w:val="false"/>
                <w:iCs w:val="false"/>
                <w:color w:val="FFFFFF"/>
                <w:sz w:val="19"/>
                <w:szCs w:val="19"/>
              </w:rPr>
              <w:t xml:space="preserve">Primary Phase</w:t>
            </w:r>
          </w:p>
        </w:tc>
        <w:tc>
          <w:tcPr>
            <w:tcW w:type="dxa" w:w="2000"/>
            <w:tcBorders>
              <w:top w:val="single" w:color="1F3864" w:sz="1"/>
              <w:left w:val="single" w:color="1F3864" w:sz="1"/>
              <w:bottom w:val="single" w:color="1F3864" w:sz="1"/>
              <w:right w:val="single" w:color="1F3864" w:sz="1"/>
            </w:tcBorders>
            <w:shd w:fill="1A5276" w:val="clear"/>
            <w:tcMar>
              <w:top w:type="dxa" w:w="110"/>
              <w:left w:type="dxa" w:w="160"/>
              <w:bottom w:type="dxa" w:w="110"/>
              <w:right w:type="dxa" w:w="160"/>
            </w:tcMar>
          </w:tcPr>
          <w:p>
            <w:pPr>
              <w:jc w:val="left"/>
            </w:pPr>
            <w:r>
              <w:rPr>
                <w:rFonts w:ascii="Calibri" w:cs="Calibri" w:eastAsia="Calibri" w:hAnsi="Calibri"/>
                <w:b/>
                <w:bCs/>
                <w:i w:val="false"/>
                <w:iCs w:val="false"/>
                <w:color w:val="FFFFFF"/>
                <w:sz w:val="19"/>
                <w:szCs w:val="19"/>
              </w:rPr>
              <w:t xml:space="preserve">Target</w:t>
            </w:r>
          </w:p>
        </w:tc>
      </w:tr>
      <w:tr>
        <w:tc>
          <w:tcPr>
            <w:tcW w:type="dxa" w:w="252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NPS (Net Promoter Score)</w:t>
            </w:r>
          </w:p>
        </w:tc>
        <w:tc>
          <w:tcPr>
            <w:tcW w:type="dxa" w:w="336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Best early signal of genuine value. High NPS before monetisation predicts long-term retention.</w:t>
            </w:r>
          </w:p>
        </w:tc>
        <w:tc>
          <w:tcPr>
            <w:tcW w:type="dxa" w:w="22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Phase 0 and 1</w:t>
            </w:r>
          </w:p>
        </w:tc>
        <w:tc>
          <w:tcPr>
            <w:tcW w:type="dxa" w:w="20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&gt;45</w:t>
            </w:r>
          </w:p>
        </w:tc>
      </w:tr>
      <w:tr>
        <w:tc>
          <w:tcPr>
            <w:tcW w:type="dxa" w:w="252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Month 2 upload retention</w:t>
            </w:r>
          </w:p>
        </w:tc>
        <w:tc>
          <w:tcPr>
            <w:tcW w:type="dxa" w:w="336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Signals whether the product creates an ongoing habit or is a one-time curiosity.</w:t>
            </w:r>
          </w:p>
        </w:tc>
        <w:tc>
          <w:tcPr>
            <w:tcW w:type="dxa" w:w="22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Phase 1</w:t>
            </w:r>
          </w:p>
        </w:tc>
        <w:tc>
          <w:tcPr>
            <w:tcW w:type="dxa" w:w="20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&gt;50% retained</w:t>
            </w:r>
          </w:p>
        </w:tc>
      </w:tr>
      <w:tr>
        <w:tc>
          <w:tcPr>
            <w:tcW w:type="dxa" w:w="252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Videos uploaded per month</w:t>
            </w:r>
          </w:p>
        </w:tc>
        <w:tc>
          <w:tcPr>
            <w:tcW w:type="dxa" w:w="336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Primary engagement volume metric. Low uploads = product not creating a habit.</w:t>
            </w:r>
          </w:p>
        </w:tc>
        <w:tc>
          <w:tcPr>
            <w:tcW w:type="dxa" w:w="22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Phase 1 onwards</w:t>
            </w:r>
          </w:p>
        </w:tc>
        <w:tc>
          <w:tcPr>
            <w:tcW w:type="dxa" w:w="20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&gt;200/month by Month 12</w:t>
            </w:r>
          </w:p>
        </w:tc>
      </w:tr>
      <w:tr>
        <w:tc>
          <w:tcPr>
            <w:tcW w:type="dxa" w:w="252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Free → Pro conversion</w:t>
            </w:r>
          </w:p>
        </w:tc>
        <w:tc>
          <w:tcPr>
            <w:tcW w:type="dxa" w:w="336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Revenue quality signal. Industry SaaS average is 2–5%; a product with strong PMF should exceed this.</w:t>
            </w:r>
          </w:p>
        </w:tc>
        <w:tc>
          <w:tcPr>
            <w:tcW w:type="dxa" w:w="22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Phase 2 onwards</w:t>
            </w:r>
          </w:p>
        </w:tc>
        <w:tc>
          <w:tcPr>
            <w:tcW w:type="dxa" w:w="20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&gt;8%</w:t>
            </w:r>
          </w:p>
        </w:tc>
      </w:tr>
      <w:tr>
        <w:tc>
          <w:tcPr>
            <w:tcW w:type="dxa" w:w="252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CAC (Customer Acquisition Cost)</w:t>
            </w:r>
          </w:p>
        </w:tc>
        <w:tc>
          <w:tcPr>
            <w:tcW w:type="dxa" w:w="336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Efficiency of growth spend. Target LTV:CAC ratio greater than 3:1.</w:t>
            </w:r>
          </w:p>
        </w:tc>
        <w:tc>
          <w:tcPr>
            <w:tcW w:type="dxa" w:w="22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Phase 2 onwards</w:t>
            </w:r>
          </w:p>
        </w:tc>
        <w:tc>
          <w:tcPr>
            <w:tcW w:type="dxa" w:w="20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&lt;₹2,000 (~$24)</w:t>
            </w:r>
          </w:p>
        </w:tc>
      </w:tr>
      <w:tr>
        <w:tc>
          <w:tcPr>
            <w:tcW w:type="dxa" w:w="252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Academy partnerships signed</w:t>
            </w:r>
          </w:p>
        </w:tc>
        <w:tc>
          <w:tcPr>
            <w:tcW w:type="dxa" w:w="336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Each academy is a built-in distribution channel of 10–30 high-intent players.</w:t>
            </w:r>
          </w:p>
        </w:tc>
        <w:tc>
          <w:tcPr>
            <w:tcW w:type="dxa" w:w="22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Phase 1 onwards</w:t>
            </w:r>
          </w:p>
        </w:tc>
        <w:tc>
          <w:tcPr>
            <w:tcW w:type="dxa" w:w="2000"/>
            <w:tcBorders>
              <w:top w:val="single" w:color="D0D3D4" w:sz="1"/>
              <w:left w:val="single" w:color="D0D3D4" w:sz="1"/>
              <w:bottom w:val="single" w:color="D0D3D4" w:sz="1"/>
              <w:right w:val="single" w:color="D0D3D4" w:sz="1"/>
            </w:tcBorders>
            <w:tcMar>
              <w:top w:type="dxa" w:w="110"/>
              <w:left w:type="dxa" w:w="160"/>
              <w:bottom w:type="dxa" w:w="110"/>
              <w:right w:type="dxa" w:w="160"/>
            </w:tcMar>
          </w:tcPr>
          <w:p>
            <w:pPr>
              <w:jc w:val="left"/>
            </w:pPr>
            <w:r>
              <w:rPr>
                <w:rFonts w:ascii="Calibri" w:cs="Calibri" w:eastAsia="Calibri" w:hAnsi="Calibri"/>
                <w:b w:val="false"/>
                <w:bCs w:val="false"/>
                <w:i w:val="false"/>
                <w:iCs w:val="false"/>
                <w:color w:val="2C2C2C"/>
                <w:sz w:val="19"/>
                <w:szCs w:val="19"/>
              </w:rPr>
              <w:t xml:space="preserve">&gt;5 by Month 18</w:t>
            </w:r>
          </w:p>
        </w:tc>
      </w:tr>
    </w:tbl>
    <w:p>
      <w:pPr>
        <w:spacing w:before="0" w:after="0"/>
      </w:pPr>
      <w:r>
        <w:rPr>
          <w:sz w:val="14"/>
          <w:szCs w:val="14"/>
        </w:rPr>
        <w:t xml:space="preserve"/>
      </w:r>
    </w:p>
    <w:p>
      <w:pPr>
        <w:pBdr>
          <w:bottom w:val="single" w:color="D0D3D4" w:sz="4" w:space="1"/>
        </w:pBdr>
        <w:spacing w:before="220" w:after="220"/>
      </w:pPr>
      <w:r>
        <w:t xml:space="preserve"/>
      </w:r>
    </w:p>
    <w:p>
      <w:pPr>
        <w:pStyle w:val="Heading2"/>
        <w:spacing w:before="280" w:after="100"/>
      </w:pPr>
      <w:r>
        <w:rPr>
          <w:rFonts w:ascii="Calibri" w:cs="Calibri" w:eastAsia="Calibri" w:hAnsi="Calibri"/>
          <w:b/>
          <w:bCs/>
          <w:color w:val="2E75B6"/>
          <w:sz w:val="27"/>
          <w:szCs w:val="27"/>
        </w:rPr>
        <w:t xml:space="preserve">Data Sources</w:t>
      </w:r>
    </w:p>
    <w:p>
      <w:pPr>
        <w:spacing w:before="60" w:after="80"/>
        <w:jc w:val="left"/>
      </w:pPr>
      <w:r>
        <w:rPr>
          <w:rFonts w:ascii="Calibri" w:cs="Calibri" w:eastAsia="Calibri" w:hAnsi="Calibri"/>
          <w:b w:val="false"/>
          <w:bCs w:val="false"/>
          <w:i/>
          <w:iCs/>
          <w:color w:val="666666"/>
          <w:sz w:val="20"/>
          <w:szCs w:val="20"/>
        </w:rPr>
        <w:t xml:space="preserve">Market sizing data sourced from Precedence Research, Grand View Research, MarketsandMarkets, Fortune Business Insights, and Fact.MR (2024–2025 publications). SwingVision revenue and subscriber data from KingsCrowd's investment analysis of the SwingVision Wefunder raise (2025). Squash player and court data from World Squash Federation official statements, Global Squash Report 2024 (Squash Facilities Network), and national federation publications. India squash data from SRFI press releases, IANS news wire (July 2025), and HCL–SRFI partnership announcements. Olympic inclusion data from IOC official statements and ESPN reporting. IBM–Agassi partnership from IBM Press Room announcement, November 2025. Competitor product data from live website research conducted March 2026.</w:t>
      </w:r>
    </w:p>
    <w:p>
      <w:pPr>
        <w:spacing w:before="0" w:after="0"/>
      </w:pPr>
      <w:r>
        <w:rPr>
          <w:sz w:val="14"/>
          <w:szCs w:val="14"/>
        </w:rPr>
        <w:t xml:space="preserve"/>
      </w:r>
    </w:p>
    <w:p>
      <w:pPr>
        <w:spacing w:before="0" w:after="0"/>
      </w:pPr>
      <w:r>
        <w:rPr>
          <w:sz w:val="14"/>
          <w:szCs w:val="14"/>
        </w:rPr>
        <w:t xml:space="preserve"/>
      </w:r>
    </w:p>
    <w:p>
      <w:pPr>
        <w:pBdr>
          <w:top w:val="single" w:color="D0D3D4" w:sz="4" w:space="8"/>
        </w:pBdr>
        <w:spacing w:before="200" w:after="0"/>
        <w:jc w:val="center"/>
      </w:pPr>
      <w:r>
        <w:rPr>
          <w:rFonts w:ascii="Calibri" w:cs="Calibri" w:eastAsia="Calibri" w:hAnsi="Calibri"/>
          <w:i/>
          <w:iCs/>
          <w:color w:val="AAAAAA"/>
          <w:sz w:val="17"/>
          <w:szCs w:val="17"/>
        </w:rPr>
        <w:t xml:space="preserve">SquashVision AI  —  Prepared by Dipendra Pratap Singh, IIT Kanpur  —  March 2026</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3D4" w:sz="4" w:space="8"/>
      </w:pBdr>
    </w:pPr>
    <w:r>
      <w:rPr>
        <w:rFonts w:ascii="Calibri" w:cs="Calibri" w:eastAsia="Calibri" w:hAnsi="Calibri"/>
        <w:color w:val="999999"/>
        <w:sz w:val="16"/>
        <w:szCs w:val="16"/>
      </w:rPr>
      <w:t xml:space="preserve">SquashVision AI  —  Strategy &amp; Market Research  —  Dipendra Pratap Singh, IIT Kanpur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Calibri" w:cs="Calibri" w:eastAsia="Calibri" w:hAnsi="Calibri"/>
      <w:b/>
      <w:bCs/>
      <w:color w:val="1F3864"/>
      <w:sz w:val="38"/>
      <w:szCs w:val="38"/>
    </w:rPr>
  </w:style>
  <w:style w:type="paragraph" w:styleId="Heading2">
    <w:name w:val="Heading 2"/>
    <w:basedOn w:val="Normal"/>
    <w:next w:val="Normal"/>
    <w:qFormat/>
    <w:pPr>
      <w:spacing w:before="280" w:after="100"/>
      <w:outlineLvl w:val="1"/>
    </w:pPr>
    <w:rPr>
      <w:rFonts w:ascii="Calibri" w:cs="Calibri" w:eastAsia="Calibri" w:hAnsi="Calibri"/>
      <w:b/>
      <w:bCs/>
      <w:color w:val="2E75B6"/>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2026-03-20T10:14:28.742Z</dcterms:created>
  <dcterms:modified xsi:type="dcterms:W3CDTF">2026-03-20T10:14:28.743Z</dcterms:modified>
</cp:coreProperties>
</file>

<file path=docProps/custom.xml><?xml version="1.0" encoding="utf-8"?>
<Properties xmlns="http://schemas.openxmlformats.org/officeDocument/2006/custom-properties" xmlns:vt="http://schemas.openxmlformats.org/officeDocument/2006/docPropsVTypes"/>
</file>