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200"/>
        <w:jc w:val="center"/>
      </w:pPr>
      <w:r>
        <w:rPr>
          <w:b/>
          <w:bCs/>
          <w:color w:val="1976D2"/>
          <w:sz w:val="44"/>
          <w:szCs w:val="44"/>
        </w:rPr>
        <w:t xml:space="preserve">AI/ML Engineering Specification</w:t>
      </w:r>
    </w:p>
    <w:p>
      <w:pPr>
        <w:spacing w:after="600"/>
        <w:jc w:val="center"/>
      </w:pPr>
      <w:r>
        <w:rPr>
          <w:sz w:val="26"/>
          <w:szCs w:val="26"/>
        </w:rPr>
        <w:t xml:space="preserve">Clinic-Specific AI Dental Screening — Academic Prototype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Revised for: Solo, 4th-Year Capstone Project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Constraints: Free-tier GPU (Colab/Kaggle) only · ~4 week timeline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Volume 4 of 5 — AI/ML Engineering Specification (Revised)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Scope Note</w:t>
      </w:r>
    </w:p>
    <w:p>
      <w:pPr>
        <w:shd w:fill="FFF8E1" w:val="clear"/>
        <w:spacing w:after="14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The original plan merged four datasets with different taxonomies, targeted mAP@[0.5:0.95] ≥ 0.80, and assumed paid GPU instances, MLOps automation, and enterprise-grade encryption/monitoring. All of that is unrealistic for one student on free-tier GPU in a few weeks. This version uses a single dataset, a smaller model, honestly-scoped accuracy targets, and defers MLOps/compliance items to Future Work.</w:t>
      </w:r>
    </w:p>
    <w:p>
      <w:pPr>
        <w:pStyle w:val="Heading1"/>
        <w:spacing w:after="150" w:before="300"/>
      </w:pPr>
      <w:r>
        <w:t xml:space="preserve">1. Dataset (Single Source)</w:t>
      </w:r>
    </w:p>
    <w:p>
      <w:pPr>
        <w:spacing w:after="120"/>
      </w:pPr>
      <w:r>
        <w:t xml:space="preserve">Use one well-annotated public dataset rather than merging several with incompatible label taxonomies and imaging conditions: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2200"/>
        <w:gridCol w:w="1900"/>
        <w:gridCol w:w="140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Images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Classes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Zenodo: Dental Caries Detection (recommended)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6,313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Caries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YOLO txt / COCO / VOC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CC BY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Alternative: Roboflow Oral Diseases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1,373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Caries, Gingivitis, Discoloration, Ulcer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Pascal VOC XML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CC BY 4.0</w:t>
            </w:r>
          </w:p>
        </w:tc>
      </w:tr>
    </w:tbl>
    <w:p>
      <w:pPr>
        <w:spacing w:after="120"/>
      </w:pPr>
      <w:r>
        <w:t xml:space="preserve">Pick one as the primary training set. If time allows in week 3, the second can be used only as an additional qualitative test set — do not merge their label taxonomies into one training run.</w:t>
      </w:r>
    </w:p>
    <w:p>
      <w:pPr>
        <w:pStyle w:val="Heading1"/>
        <w:spacing w:after="150" w:before="300"/>
      </w:pPr>
      <w:r>
        <w:t xml:space="preserve">2. Annotation Notes</w:t>
      </w:r>
    </w:p>
    <w:p>
      <w:pPr>
        <w:spacing w:after="120"/>
      </w:pPr>
      <w:r>
        <w:t xml:space="preserve">These datasets already come annotated, so manual labelling is not required for the MVP. If you supplement with a handful of your own example photos for the demo, follow this taxonomy for consistency: tightest bounding box per lesion, no duplicate boxes for the same class, skip blurred/occluded regions rather than guessing.</w:t>
      </w:r>
    </w:p>
    <w:p>
      <w:pPr>
        <w:pStyle w:val="Heading1"/>
        <w:spacing w:after="150" w:before="300"/>
      </w:pPr>
      <w:r>
        <w:t xml:space="preserve">3. Data Structure &amp; Versioning (Simplified)</w:t>
      </w:r>
    </w:p>
    <w:p>
      <w:pPr>
        <w:spacing w:after="120"/>
      </w:pPr>
      <w:r>
        <w:t xml:space="preserve">Skip DVC/Git-LFS tooling — unnecessary overhead for a single-dataset, solo project. Instead: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raw data out of Git entirely (.gitignore the dataset folder). Store it in Google Drive, referenced by the Colab notebook.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Standard folder layout: dataset/images/{train,val,test}/ and dataset/labels/{train,val,test}/, plus a data.yaml pointing to them.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Split by image (patient-level splitting isn't meaningful for a public, pre-anonymized dataset): ~80% train / 10% val / 10% test.</w:t>
      </w:r>
    </w:p>
    <w:p>
      <w:pPr>
        <w:pStyle w:val="Heading1"/>
        <w:spacing w:after="150" w:before="300"/>
      </w:pPr>
      <w:r>
        <w:t xml:space="preserve">4. Preprocessing &amp; Augmentation</w:t>
      </w:r>
    </w:p>
    <w:p>
      <w:pPr>
        <w:spacing w:after="120"/>
      </w:pPr>
      <w:r>
        <w:t xml:space="preserve">YOLOv8's built-in training pipeline already handles resizing (imgsz=640, letterboxed) and standard augmentation (mosaic, horizontal flip, HSV jitter, small rotation) — no custom Albumentations pipeline is required for the MVP. Defaults are sufficient; only tune if validation results are clearly poor.</w:t>
      </w:r>
    </w:p>
    <w:p>
      <w:pPr>
        <w:pStyle w:val="Heading1"/>
        <w:spacing w:after="150" w:before="300"/>
      </w:pPr>
      <w:r>
        <w:t xml:space="preserve">5. Model &amp; Training (Free-Tier GPU)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00"/>
        <w:gridCol w:w="3500"/>
      </w:tblGrid>
      <w:tr>
        <w:trPr>
          <w:tblHeader/>
        </w:trPr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Model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YOLOv8n (nano)</w:t>
            </w:r>
          </w:p>
        </w:tc>
        <w:tc>
          <w:tcPr>
            <w:tcW w:type="dxa" w:w="3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Fastest to train on free Colab GPU; fast enough for CPU inference on free hosting</w:t>
            </w:r>
          </w:p>
        </w:tc>
      </w:tr>
      <w:tr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Environment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Google Colab (free T4) or Kaggle Notebooks</w:t>
            </w:r>
          </w:p>
        </w:tc>
        <w:tc>
          <w:tcPr>
            <w:tcW w:type="dxa" w:w="3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cost; ~12h session limit on Colab — checkpoint accordingly</w:t>
            </w:r>
          </w:p>
        </w:tc>
      </w:tr>
      <w:tr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Epochs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40–60</w:t>
            </w:r>
          </w:p>
        </w:tc>
        <w:tc>
          <w:tcPr>
            <w:tcW w:type="dxa" w:w="3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Enough to converge on ~6k images without exhausting a single free session</w:t>
            </w:r>
          </w:p>
        </w:tc>
      </w:tr>
      <w:tr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Batch size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Fits comfortably in free-tier GPU memory (~15GB)</w:t>
            </w:r>
          </w:p>
        </w:tc>
      </w:tr>
      <w:tr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 size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640</w:t>
            </w:r>
          </w:p>
        </w:tc>
        <w:tc>
          <w:tcPr>
            <w:tcW w:type="dxa" w:w="3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Standard YOLO default</w:t>
            </w:r>
          </w:p>
        </w:tc>
      </w:tr>
      <w:tr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Optimizer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SGD (Ultralytics default, lr0=0.01)</w:t>
            </w:r>
          </w:p>
        </w:tc>
        <w:tc>
          <w:tcPr>
            <w:tcW w:type="dxa" w:w="3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need to hand-tune for MVP</w:t>
            </w:r>
          </w:p>
        </w:tc>
      </w:tr>
    </w:tbl>
    <w:p>
      <w:pPr>
        <w:spacing w:after="120"/>
      </w:pPr>
      <w:r>
        <w:t xml:space="preserve">Example training command:</w:t>
      </w:r>
    </w:p>
    <w:p>
      <w:pPr>
        <w:spacing w:after="120"/>
      </w:pPr>
      <w:r>
        <w:t xml:space="preserve">yolo detect train data=data.yaml model=yolov8n.pt epochs=50 imgsz=640 batch=16 device=0</w:t>
      </w:r>
    </w:p>
    <w:p>
      <w:pPr>
        <w:shd w:fill="FFF8E1" w:val="clear"/>
        <w:spacing w:after="14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Colab free tier disconnects after ~12h or on inactivity. Use model.save() / Ultralytics' automatic checkpointing (runs/detect/train/weights/last.pt) and resume=True so a disconnect doesn't lose progress. Mount Google Drive at the start of the notebook so weights persist between sessions.</w:t>
      </w:r>
    </w:p>
    <w:p>
      <w:pPr>
        <w:pStyle w:val="Heading1"/>
        <w:spacing w:after="150" w:before="300"/>
      </w:pPr>
      <w:r>
        <w:t xml:space="preserve">6. Experiment Tracking (Lightweight)</w:t>
      </w:r>
    </w:p>
    <w:p>
      <w:pPr>
        <w:spacing w:after="120"/>
      </w:pPr>
      <w:r>
        <w:t xml:space="preserve">Skip a hosted MLflow server — unnecessary infrastructure for one model, one dataset, a handful of runs. Instead: let Ultralytics write its default runs/detect/trainN/ folders (which already include metrics.csv, confusion matrix, and PR curves) and keep a one-page markdown log of each run's hyperparameters and resulting mAP. If you want a hosted dashboard, Weights &amp; Biases has a free tier and integrates with a single wandb.init() call — optional, not required.</w:t>
      </w:r>
    </w:p>
    <w:p>
      <w:pPr>
        <w:pStyle w:val="Heading1"/>
        <w:spacing w:after="150" w:before="300"/>
      </w:pPr>
      <w:r>
        <w:t xml:space="preserve">7. Evaluation Metrics &amp; Realistic Targets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600"/>
      </w:tblGrid>
      <w:tr>
        <w:trPr>
          <w:tblHeader/>
        </w:trP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mAP50 (val set)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≥ 0.55–0.65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Realistic for a single free-tier training run on one dataset; report the actual number honestly rather than assuming a fixed target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Recall (sensitivity)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Prioritise over precision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Missing a real lesion is worse than a false alarm in a screening context; if precision/recall trade-off is needed, favour recall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Inference latency (CPU)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&lt; 2s per image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Acceptable for a demo; YOLOv8n on CPU is well within this</w:t>
            </w:r>
          </w:p>
        </w:tc>
      </w:tr>
    </w:tbl>
    <w:p>
      <w:pPr>
        <w:shd w:fill="FFF8E1" w:val="clear"/>
        <w:spacing w:after="14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The earlier draft's mAP@[0.5:0.95] ≥ 0.80 target was copied from published benchmarks trained on much larger compute budgets and, in one place, from a different metric (mAP50) than the one being compared against. Don't commit to a specific number before your first training run — report whatever your validation run actually achieves, and discuss it honestly in your write-up.</w:t>
      </w:r>
    </w:p>
    <w:p>
      <w:pPr>
        <w:pStyle w:val="Heading1"/>
        <w:spacing w:after="150" w:before="300"/>
      </w:pPr>
      <w:r>
        <w:t xml:space="preserve">8. Explainability (Grad-CAM) — Stretch Goal</w:t>
      </w:r>
    </w:p>
    <w:p>
      <w:pPr>
        <w:spacing w:after="120"/>
      </w:pPr>
      <w:r>
        <w:t xml:space="preserve">Grad-CAM was designed for standard CNN classifiers (conv stack → global-average-pool → FC layer), not for YOLO's anchor-free detection head, so this is a genuine engineering challenge, not a quick add-on. Treat it as a stretch goal for week 3: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Simplest viable approach: after YOLO detects a box, crop that region and run it through a small pretrained classifier (e.g. a lightly fine-tuned ResNet18) just for that crop, then apply standard Grad-CAM to the classifier.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time runs out, it's acceptable to ship the MVP with only bounding boxes + confidence scores and describe Grad-CAM as future work in your report — this is a defensible, honest scope decision, not a failure.</w:t>
      </w:r>
    </w:p>
    <w:p>
      <w:pPr>
        <w:pStyle w:val="Heading1"/>
        <w:spacing w:after="150" w:before="300"/>
      </w:pPr>
      <w:r>
        <w:t xml:space="preserve">9. Human-in-the-Loop (Kept, Simplified)</w:t>
      </w:r>
    </w:p>
    <w:p>
      <w:pPr>
        <w:spacing w:after="120"/>
      </w:pPr>
      <w:r>
        <w:t xml:space="preserve">The dentist review/correction flow is kept because it's central to the project's value proposition and is not expensive to build: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Dentist sees predicted boxes + labels + confidence, can approve or pick a different label from a dropdown.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Corrections are saved to a Corrections collection (image, old label, new label, timestamp) — this demonstrates the concept of a feedback loop for your report, even though automated retraining (below) is out of scope.</w:t>
      </w:r>
    </w:p>
    <w:p>
      <w:pPr>
        <w:pStyle w:val="Heading1"/>
        <w:spacing w:after="150" w:before="300"/>
      </w:pPr>
      <w:r>
        <w:t xml:space="preserve">10. Retraining Pipeline — Future Work</w:t>
      </w:r>
    </w:p>
    <w:p>
      <w:pPr>
        <w:spacing w:after="120"/>
      </w:pPr>
      <w:r>
        <w:t xml:space="preserve">A scheduled/automated retraining pipeline (re-merging corrections, re-validating, canary deploy) is real MLOps work that assumes ongoing data collection and a production deployment — neither applies to a 4-week demo. Document the Corrections data as “ready to be used for a future manual or automated retraining pass” and stop there.</w:t>
      </w:r>
    </w:p>
    <w:p>
      <w:pPr>
        <w:pStyle w:val="Heading1"/>
        <w:spacing w:after="150" w:before="300"/>
      </w:pPr>
      <w:r>
        <w:t xml:space="preserve">11. Model Deployment (Free-Tier)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nothing fancy: keep the PyTorch .pt checkpoint. ONNX/TensorRT conversion is unnecessary optimization for a CPU-only free host serving occasional demo requests.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Load the model once at FastAPI startup (module-level global), not per-request — this alone is enough to keep inference latency reasonable on a free CPU instance.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separate inference microservice or Docker/Kubernetes cluster — run inference in the same FastAPI process that serves the rest of the API, deployed on Render/Railway's free tier.</w:t>
      </w:r>
    </w:p>
    <w:p>
      <w:pPr>
        <w:pStyle w:val="Heading1"/>
        <w:spacing w:after="150" w:before="300"/>
      </w:pPr>
      <w:r>
        <w:t xml:space="preserve">12. Monitoring — Simplified</w:t>
      </w:r>
    </w:p>
    <w:p>
      <w:pPr>
        <w:spacing w:after="120"/>
      </w:pPr>
      <w:r>
        <w:t xml:space="preserve">Skip Prometheus/Grafana — real operational overhead with no audience for a coursework demo. Use Python's standard logging module to log each inference call (timestamp, latency, number of detections) to console/file. That's sufficient evidence of monitoring awareness for a capstone report.</w:t>
      </w:r>
    </w:p>
    <w:p>
      <w:pPr>
        <w:pStyle w:val="Heading1"/>
        <w:spacing w:after="150" w:before="300"/>
      </w:pPr>
      <w:r>
        <w:t xml:space="preserve">13. Security &amp; Privacy (Right-Sized)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Because no real patient data is used, HIPAA/GDPR infrastructure (BAAs, KMS-managed encryption, MFA, 6-year audit retention) is not required for this phase — state this explicitly in your report rather than silently omitting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worth doing regardless of budget: strip EXIF metadata from uploaded images (pip install piexif), don't put any identifying info in filenames, and keep JWTs in httpOnly cookies rather than localStorage.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Document, as Future Work, what a real clinical deployment would additionally require: encryption at rest, BAAs with vendors, audit logging, MFA, and a data-retention/deletion policy reconciled with any legal retention requirements.</w:t>
      </w:r>
    </w:p>
    <w:p>
      <w:pPr>
        <w:pStyle w:val="Heading1"/>
        <w:spacing w:after="150" w:before="300"/>
      </w:pPr>
      <w:r>
        <w:t xml:space="preserve">14. Compute &amp; Cost Plan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Free-Tier Option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 to Plan Around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Training GPU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Google Colab (free T4) or Kaggle (30 GPU-hrs/week)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~12h session cap; disconnects — checkpoint often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Backend hosting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Render or Railway free tier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Cold start after inactivity (30–60s first request)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Frontend hosting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Vercel free tier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Generous limits, minimal constraint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MongoDB Atlas M0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512MB storage cap — store only URLs, not binary images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 storage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Cloudinary free tier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 monthly credits — fine for a demo dataset</w:t>
            </w:r>
          </w:p>
        </w:tc>
      </w:tr>
    </w:tbl>
    <w:p>
      <w:pPr>
        <w:pStyle w:val="Heading1"/>
        <w:spacing w:after="150" w:before="300"/>
      </w:pPr>
      <w:r>
        <w:t xml:space="preserve">15. Implementation Checklist (Trimmed)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[Data] Download the chosen dataset; verify image/label counts match; do a visual spot-check of a few annotated samples.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[Data] Write a small split script (80/10/10) and a data.yaml for YOLO.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[Training] Fine-tune yolov8n.pt on Colab with checkpointing; save best.pt to Google Drive.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[Evaluation] Run model.val() on the test split; record mAP50, precision, recall honestly in your report.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[API] Build /predict (image in → JSON boxes/labels/confidence out) in FastAPI, loading the model once at startup.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[API] Build /correct to store dentist corrections.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[Frontend] Build the AI Review + Correction UI components (see Volume 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[Report] Build the PDF report generator (ReportLab), embedding the image + detected findings.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[Stretch] Attempt the crop-and-classify Grad-CAM approach if time remains in week 3.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[Docs] Write up actual achieved metrics, dataset used, and an honest “limitations &amp; future work” section — this matters as much as the code for a capstone grade.</w:t>
      </w:r>
    </w:p>
    <w:p>
      <w:pPr>
        <w:pStyle w:val="Heading1"/>
        <w:spacing w:after="150" w:before="300"/>
      </w:pPr>
      <w:r>
        <w:t xml:space="preserve">16. References</w:t>
      </w:r>
    </w:p>
    <w:p>
      <w:pPr>
        <w:spacing w:after="120"/>
      </w:pPr>
      <w:r>
        <w:t xml:space="preserve">Zenodo intraoral caries dataset (DOI: 10.5281/zenodo.14827784); Ultralytics YOLOv8 documentation for training/export commands and metric definitions; general Grad-CAM literature (Selvaraju et al.) for the explainability stretch goal.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6"/>
        <w:szCs w:val="16"/>
      </w:rPr>
      <w:t xml:space="preserve"> of </w:t>
    </w:r>
    <w:r>
      <w:rPr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6"/>
        <w:szCs w:val="16"/>
      </w:rPr>
      <w:t xml:space="preserve">Volume 4 — AI/ML Spec (Revised)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2026-08-01T18:19:35.850Z</dcterms:created>
  <dcterms:modified xsi:type="dcterms:W3CDTF">2026-08-01T18:19:35.850Z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