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Highlights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Per-layer lookahead masks compound with depth and leak future context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A nominal 40 ms budget used at least 220 ms of future audio in a WavLM probe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A perturbation test measures the effective future context of a streaming model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Two masking schemes make the effective context equal the nominal budget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With exact budgets the lookahead benefit drops from 63% to 3.7-12.5% (PER)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