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SCHOOL OF COMPUTER SCIENCE AND APPLICATIONS</w:t>
      </w:r>
    </w:p>
    <w:p/>
    <w:p>
      <w:pPr>
        <w:jc w:val="center"/>
      </w:pPr>
      <w:r>
        <w:rPr>
          <w:rFonts w:ascii="Times New Roman" w:hAnsi="Times New Roman"/>
          <w:b/>
          <w:sz w:val="32"/>
        </w:rPr>
        <w:t>MajorProject Progress Report – I</w:t>
      </w:r>
    </w:p>
    <w:p/>
    <w:p>
      <w:pPr>
        <w:jc w:val="center"/>
      </w:pPr>
      <w:r>
        <w:rPr>
          <w:rFonts w:ascii="Times New Roman" w:hAnsi="Times New Roman"/>
          <w:b/>
          <w:color w:val="C0392B"/>
          <w:sz w:val="28"/>
        </w:rPr>
        <w:t>End to End Deployment of an E-Commerce Application using Terraform, Ansible and AWS</w:t>
      </w:r>
    </w:p>
    <w:p/>
    <w:p/>
    <w:p>
      <w:pPr>
        <w:jc w:val="center"/>
      </w:pPr>
      <w:r>
        <w:rPr>
          <w:rFonts w:ascii="Times New Roman" w:hAnsi="Times New Roman"/>
          <w:sz w:val="26"/>
        </w:rPr>
        <w:t>Master of Computer Application - MCA</w:t>
      </w:r>
    </w:p>
    <w:p/>
    <w:p/>
    <w:p>
      <w:pPr>
        <w:jc w:val="center"/>
      </w:pPr>
      <w:r>
        <w:rPr>
          <w:rFonts w:ascii="Times New Roman" w:hAnsi="Times New Roman"/>
          <w:sz w:val="22"/>
        </w:rPr>
        <w:t>Submitted by</w:t>
      </w:r>
    </w:p>
    <w:p>
      <w:pPr>
        <w:jc w:val="center"/>
      </w:pPr>
      <w:r>
        <w:rPr>
          <w:rFonts w:ascii="Times New Roman" w:hAnsi="Times New Roman"/>
          <w:b/>
          <w:sz w:val="24"/>
        </w:rPr>
        <w:t>&lt;Name of the Candidate&gt;</w:t>
      </w:r>
    </w:p>
    <w:p>
      <w:pPr>
        <w:jc w:val="center"/>
      </w:pPr>
      <w:r>
        <w:rPr>
          <w:rFonts w:ascii="Times New Roman" w:hAnsi="Times New Roman"/>
          <w:sz w:val="22"/>
        </w:rPr>
        <w:t>&lt;SRN&gt;</w:t>
      </w:r>
    </w:p>
    <w:p/>
    <w:p>
      <w:pPr>
        <w:jc w:val="center"/>
      </w:pPr>
      <w:r>
        <w:rPr>
          <w:rFonts w:ascii="Times New Roman" w:hAnsi="Times New Roman"/>
          <w:sz w:val="22"/>
        </w:rPr>
        <w:t>Under the guidance of</w:t>
      </w:r>
    </w:p>
    <w:p>
      <w:pPr>
        <w:jc w:val="center"/>
      </w:pPr>
      <w:r>
        <w:rPr>
          <w:rFonts w:ascii="Times New Roman" w:hAnsi="Times New Roman"/>
          <w:b/>
          <w:sz w:val="24"/>
        </w:rPr>
        <w:t>&lt; Guide Name &gt;</w:t>
      </w:r>
    </w:p>
    <w:p>
      <w:pPr>
        <w:jc w:val="center"/>
      </w:pPr>
      <w:r>
        <w:rPr>
          <w:rFonts w:ascii="Times New Roman" w:hAnsi="Times New Roman"/>
          <w:sz w:val="22"/>
        </w:rPr>
        <w:t>&lt;Designation&gt;</w:t>
      </w:r>
    </w:p>
    <w:p>
      <w:pPr>
        <w:jc w:val="center"/>
      </w:pPr>
      <w:r>
        <w:rPr>
          <w:rFonts w:ascii="Times New Roman" w:hAnsi="Times New Roman"/>
          <w:sz w:val="22"/>
        </w:rPr>
        <w:t>&lt;Affiliation&gt;</w:t>
      </w:r>
    </w:p>
    <w:p/>
    <w:p/>
    <w:p/>
    <w:p>
      <w:pPr>
        <w:jc w:val="center"/>
      </w:pPr>
      <w:r>
        <w:rPr>
          <w:rFonts w:ascii="Times New Roman" w:hAnsi="Times New Roman"/>
          <w:sz w:val="24"/>
        </w:rPr>
        <w:t>MAY 2026</w:t>
      </w:r>
    </w:p>
    <w:p/>
    <w:p>
      <w:pPr>
        <w:jc w:val="center"/>
      </w:pPr>
      <w:r>
        <w:rPr>
          <w:rFonts w:ascii="Times New Roman" w:hAnsi="Times New Roman"/>
          <w:sz w:val="22"/>
        </w:rPr>
        <w:t>Rukmini Knowledge Park, Kattigenahalli, Yelahanka, Bengaluru-560064</w:t>
      </w:r>
    </w:p>
    <w:p>
      <w:pPr>
        <w:jc w:val="center"/>
      </w:pPr>
      <w:r>
        <w:rPr>
          <w:rFonts w:ascii="Times New Roman" w:hAnsi="Times New Roman"/>
          <w:sz w:val="22"/>
          <w:u w:val="single"/>
        </w:rPr>
        <w:t>www.reva.edu.in</w:t>
      </w:r>
    </w:p>
    <w:p>
      <w:r>
        <w:br w:type="page"/>
      </w:r>
    </w:p>
    <w:p>
      <w:pPr>
        <w:jc w:val="center"/>
      </w:pPr>
      <w:r>
        <w:rPr>
          <w:rFonts w:ascii="Times New Roman" w:hAnsi="Times New Roman"/>
          <w:b/>
          <w:sz w:val="28"/>
        </w:rPr>
        <w:t>TABLE OF CONTENTS</w:t>
      </w:r>
    </w:p>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sz w:val="22"/>
              </w:rPr>
              <w:t>Sl No</w:t>
            </w:r>
          </w:p>
        </w:tc>
        <w:tc>
          <w:tcPr>
            <w:tcW w:type="dxa" w:w="3135"/>
          </w:tcPr>
          <w:p>
            <w:pPr>
              <w:jc w:val="center"/>
            </w:pPr>
            <w:r>
              <w:rPr>
                <w:rFonts w:ascii="Times New Roman" w:hAnsi="Times New Roman"/>
                <w:b/>
                <w:sz w:val="22"/>
              </w:rPr>
              <w:t>Content</w:t>
            </w:r>
          </w:p>
        </w:tc>
        <w:tc>
          <w:tcPr>
            <w:tcW w:type="dxa" w:w="3135"/>
          </w:tcPr>
          <w:p>
            <w:pPr>
              <w:jc w:val="center"/>
            </w:pPr>
            <w:r>
              <w:rPr>
                <w:rFonts w:ascii="Times New Roman" w:hAnsi="Times New Roman"/>
                <w:b/>
                <w:sz w:val="22"/>
              </w:rPr>
              <w:t>Page No.</w:t>
            </w:r>
          </w:p>
        </w:tc>
      </w:tr>
      <w:tr>
        <w:tc>
          <w:tcPr>
            <w:tcW w:type="dxa" w:w="3135"/>
          </w:tcPr>
          <w:p>
            <w:r>
              <w:rPr>
                <w:rFonts w:ascii="Times New Roman" w:hAnsi="Times New Roman"/>
                <w:sz w:val="22"/>
              </w:rPr>
              <w:t>1</w:t>
            </w:r>
          </w:p>
        </w:tc>
        <w:tc>
          <w:tcPr>
            <w:tcW w:type="dxa" w:w="3135"/>
          </w:tcPr>
          <w:p>
            <w:r>
              <w:rPr>
                <w:rFonts w:ascii="Times New Roman" w:hAnsi="Times New Roman"/>
                <w:sz w:val="22"/>
              </w:rPr>
              <w:t>Abstract</w:t>
            </w:r>
          </w:p>
        </w:tc>
        <w:tc>
          <w:tcPr>
            <w:tcW w:type="dxa" w:w="3135"/>
          </w:tcPr>
          <w:p>
            <w:r>
              <w:rPr>
                <w:rFonts w:ascii="Times New Roman" w:hAnsi="Times New Roman"/>
                <w:sz w:val="22"/>
              </w:rPr>
              <w:t>1</w:t>
            </w:r>
          </w:p>
        </w:tc>
      </w:tr>
      <w:tr>
        <w:tc>
          <w:tcPr>
            <w:tcW w:type="dxa" w:w="3135"/>
          </w:tcPr>
          <w:p>
            <w:r>
              <w:rPr>
                <w:rFonts w:ascii="Times New Roman" w:hAnsi="Times New Roman"/>
                <w:sz w:val="22"/>
              </w:rPr>
              <w:t>2</w:t>
            </w:r>
          </w:p>
        </w:tc>
        <w:tc>
          <w:tcPr>
            <w:tcW w:type="dxa" w:w="3135"/>
          </w:tcPr>
          <w:p>
            <w:r>
              <w:rPr>
                <w:rFonts w:ascii="Times New Roman" w:hAnsi="Times New Roman"/>
                <w:sz w:val="22"/>
              </w:rPr>
              <w:t>Introduction</w:t>
            </w:r>
          </w:p>
          <w:p>
            <w:r>
              <w:rPr>
                <w:rFonts w:ascii="Times New Roman" w:hAnsi="Times New Roman"/>
                <w:sz w:val="22"/>
              </w:rPr>
              <w:t xml:space="preserve"> - Problem statement</w:t>
            </w:r>
          </w:p>
          <w:p>
            <w:r>
              <w:rPr>
                <w:rFonts w:ascii="Times New Roman" w:hAnsi="Times New Roman"/>
                <w:sz w:val="22"/>
              </w:rPr>
              <w:t xml:space="preserve"> - Scope of the problem</w:t>
            </w:r>
          </w:p>
        </w:tc>
        <w:tc>
          <w:tcPr>
            <w:tcW w:type="dxa" w:w="3135"/>
          </w:tcPr>
          <w:p>
            <w:r>
              <w:rPr>
                <w:rFonts w:ascii="Times New Roman" w:hAnsi="Times New Roman"/>
                <w:sz w:val="22"/>
              </w:rPr>
              <w:t>2</w:t>
            </w:r>
          </w:p>
        </w:tc>
      </w:tr>
      <w:tr>
        <w:tc>
          <w:tcPr>
            <w:tcW w:type="dxa" w:w="3135"/>
          </w:tcPr>
          <w:p>
            <w:r>
              <w:rPr>
                <w:rFonts w:ascii="Times New Roman" w:hAnsi="Times New Roman"/>
                <w:sz w:val="22"/>
              </w:rPr>
              <w:t>3</w:t>
            </w:r>
          </w:p>
        </w:tc>
        <w:tc>
          <w:tcPr>
            <w:tcW w:type="dxa" w:w="3135"/>
          </w:tcPr>
          <w:p>
            <w:r>
              <w:rPr>
                <w:rFonts w:ascii="Times New Roman" w:hAnsi="Times New Roman"/>
                <w:sz w:val="22"/>
              </w:rPr>
              <w:t>System Requirements</w:t>
            </w:r>
          </w:p>
        </w:tc>
        <w:tc>
          <w:tcPr>
            <w:tcW w:type="dxa" w:w="3135"/>
          </w:tcPr>
          <w:p>
            <w:r>
              <w:rPr>
                <w:rFonts w:ascii="Times New Roman" w:hAnsi="Times New Roman"/>
                <w:sz w:val="22"/>
              </w:rPr>
              <w:t>4</w:t>
            </w:r>
          </w:p>
        </w:tc>
      </w:tr>
      <w:tr>
        <w:tc>
          <w:tcPr>
            <w:tcW w:type="dxa" w:w="3135"/>
          </w:tcPr>
          <w:p>
            <w:r>
              <w:rPr>
                <w:rFonts w:ascii="Times New Roman" w:hAnsi="Times New Roman"/>
                <w:sz w:val="22"/>
              </w:rPr>
              <w:t>4</w:t>
            </w:r>
          </w:p>
        </w:tc>
        <w:tc>
          <w:tcPr>
            <w:tcW w:type="dxa" w:w="3135"/>
          </w:tcPr>
          <w:p>
            <w:r>
              <w:rPr>
                <w:rFonts w:ascii="Times New Roman" w:hAnsi="Times New Roman"/>
                <w:sz w:val="22"/>
              </w:rPr>
              <w:t>Literature Review</w:t>
            </w:r>
          </w:p>
        </w:tc>
        <w:tc>
          <w:tcPr>
            <w:tcW w:type="dxa" w:w="3135"/>
          </w:tcPr>
          <w:p>
            <w:r>
              <w:rPr>
                <w:rFonts w:ascii="Times New Roman" w:hAnsi="Times New Roman"/>
                <w:sz w:val="22"/>
              </w:rPr>
              <w:t>6</w:t>
            </w:r>
          </w:p>
        </w:tc>
      </w:tr>
      <w:tr>
        <w:tc>
          <w:tcPr>
            <w:tcW w:type="dxa" w:w="3135"/>
          </w:tcPr>
          <w:p>
            <w:r>
              <w:rPr>
                <w:rFonts w:ascii="Times New Roman" w:hAnsi="Times New Roman"/>
                <w:sz w:val="22"/>
              </w:rPr>
              <w:t>5</w:t>
            </w:r>
          </w:p>
        </w:tc>
        <w:tc>
          <w:tcPr>
            <w:tcW w:type="dxa" w:w="3135"/>
          </w:tcPr>
          <w:p>
            <w:r>
              <w:rPr>
                <w:rFonts w:ascii="Times New Roman" w:hAnsi="Times New Roman"/>
                <w:sz w:val="22"/>
              </w:rPr>
              <w:t>Data Collection / Dataset Description</w:t>
            </w:r>
          </w:p>
        </w:tc>
        <w:tc>
          <w:tcPr>
            <w:tcW w:type="dxa" w:w="3135"/>
          </w:tcPr>
          <w:p>
            <w:r>
              <w:rPr>
                <w:rFonts w:ascii="Times New Roman" w:hAnsi="Times New Roman"/>
                <w:sz w:val="22"/>
              </w:rPr>
              <w:t>9</w:t>
            </w:r>
          </w:p>
        </w:tc>
      </w:tr>
      <w:tr>
        <w:tc>
          <w:tcPr>
            <w:tcW w:type="dxa" w:w="3135"/>
          </w:tcPr>
          <w:p>
            <w:r>
              <w:rPr>
                <w:rFonts w:ascii="Times New Roman" w:hAnsi="Times New Roman"/>
                <w:sz w:val="22"/>
              </w:rPr>
              <w:t>6</w:t>
            </w:r>
          </w:p>
        </w:tc>
        <w:tc>
          <w:tcPr>
            <w:tcW w:type="dxa" w:w="3135"/>
          </w:tcPr>
          <w:p>
            <w:r>
              <w:rPr>
                <w:rFonts w:ascii="Times New Roman" w:hAnsi="Times New Roman"/>
                <w:sz w:val="22"/>
              </w:rPr>
              <w:t>Gantt Chart / Project Timeline</w:t>
            </w:r>
          </w:p>
        </w:tc>
        <w:tc>
          <w:tcPr>
            <w:tcW w:type="dxa" w:w="3135"/>
          </w:tcPr>
          <w:p>
            <w:r>
              <w:rPr>
                <w:rFonts w:ascii="Times New Roman" w:hAnsi="Times New Roman"/>
                <w:sz w:val="22"/>
              </w:rPr>
              <w:t>11</w:t>
            </w:r>
          </w:p>
        </w:tc>
      </w:tr>
      <w:tr>
        <w:tc>
          <w:tcPr>
            <w:tcW w:type="dxa" w:w="3135"/>
          </w:tcPr>
          <w:p>
            <w:r>
              <w:rPr>
                <w:rFonts w:ascii="Times New Roman" w:hAnsi="Times New Roman"/>
                <w:sz w:val="22"/>
              </w:rPr>
              <w:t>7</w:t>
            </w:r>
          </w:p>
        </w:tc>
        <w:tc>
          <w:tcPr>
            <w:tcW w:type="dxa" w:w="3135"/>
          </w:tcPr>
          <w:p>
            <w:r>
              <w:rPr>
                <w:rFonts w:ascii="Times New Roman" w:hAnsi="Times New Roman"/>
                <w:sz w:val="22"/>
              </w:rPr>
              <w:t>Conclusion</w:t>
            </w:r>
          </w:p>
        </w:tc>
        <w:tc>
          <w:tcPr>
            <w:tcW w:type="dxa" w:w="3135"/>
          </w:tcPr>
          <w:p>
            <w:r>
              <w:rPr>
                <w:rFonts w:ascii="Times New Roman" w:hAnsi="Times New Roman"/>
                <w:sz w:val="22"/>
              </w:rPr>
              <w:t>13</w:t>
            </w:r>
          </w:p>
        </w:tc>
      </w:tr>
    </w:tbl>
    <w:p/>
    <w:p>
      <w:r>
        <w:rPr>
          <w:rFonts w:ascii="Times New Roman" w:hAnsi="Times New Roman"/>
          <w:sz w:val="22"/>
        </w:rPr>
        <w:t>Appendix 1: Global Certification Score Card</w:t>
      </w:r>
    </w:p>
    <w:p>
      <w:r>
        <w:rPr>
          <w:rFonts w:ascii="Times New Roman" w:hAnsi="Times New Roman"/>
          <w:sz w:val="22"/>
        </w:rPr>
        <w:t>Appendix 2: Company Profile</w:t>
      </w:r>
    </w:p>
    <w:p>
      <w:r>
        <w:rPr>
          <w:rFonts w:ascii="Times New Roman" w:hAnsi="Times New Roman"/>
          <w:sz w:val="22"/>
        </w:rPr>
        <w:t>Appendix 3: Research Paper Abstract/Paper</w:t>
      </w:r>
    </w:p>
    <w:p>
      <w:r>
        <w:br w:type="page"/>
      </w:r>
    </w:p>
    <w:p>
      <w:pPr>
        <w:pStyle w:val="Heading1"/>
      </w:pPr>
      <w:r>
        <w:rPr>
          <w:color w:val="000000"/>
        </w:rPr>
        <w:t>1. Abstract</w:t>
      </w:r>
    </w:p>
    <w:p>
      <w:r>
        <w:rPr>
          <w:rFonts w:ascii="Times New Roman" w:hAnsi="Times New Roman"/>
          <w:b w:val="0"/>
          <w:i w:val="0"/>
          <w:sz w:val="22"/>
        </w:rPr>
        <w:t>Modern e-commerce platforms must scale elastically, recover quickly from failures, and ship features safely many times a day. Achieving this calls for a deployment pipeline in which infrastructure, configuration, and application lifecycle are all expressed as code. This project demonstrates an end-to-end deployment of a containerized e-commerce application on Amazon Web Services (AWS) using Terraform for infrastructure provisioning, Ansible for configuration management, Amazon Elastic Kubernetes Service (EKS) for container orchestration, and a Prometheus, Grafana, Loki and CloudWatch stack for monitoring and logging.</w:t>
      </w:r>
    </w:p>
    <w:p>
      <w:r>
        <w:rPr>
          <w:rFonts w:ascii="Times New Roman" w:hAnsi="Times New Roman"/>
          <w:b w:val="0"/>
          <w:i w:val="0"/>
          <w:sz w:val="22"/>
        </w:rPr>
        <w:t>The objective is to design a reproducible, modular and audit-friendly platform on which a microservices-based storefront, catalog service, cart service, order service and payment gateway can be deployed without manual intervention. Terraform modules describe the Virtual Private Cloud (VPC), subnets, NAT gateways, security groups, Identity and Access Management (IAM) roles, Amazon Relational Database Service (RDS) instances, Elastic Container Registry (ECR) repositories and the EKS control plane and worker node groups. Ansible playbooks bootstrap bastion hosts, configure observability agents on self-managed nodes, and seed Kubernetes namespaces with secrets and configuration. A continuous integration and continuous deployment (CI/CD) pipeline implemented in GitHub Actions builds Docker images, pushes them to ECR, and triggers Helm-based rollouts onto the cluster.</w:t>
      </w:r>
    </w:p>
    <w:p>
      <w:r>
        <w:rPr>
          <w:rFonts w:ascii="Times New Roman" w:hAnsi="Times New Roman"/>
          <w:b w:val="0"/>
          <w:i w:val="0"/>
          <w:sz w:val="22"/>
        </w:rPr>
        <w:t>Observability is treated as a first-class concern. Application metrics are exported through the Prometheus client libraries, Kubernetes cluster metrics are scraped through the kube-state-metrics and node-exporter components, and long-term storage is handled by Amazon Managed Service for Prometheus. Logs from application pods are forwarded by Promtail to Grafana Loki and from control plane components to Amazon CloudWatch Logs. Synthetic checks and real-user monitoring close the feedback loop, and alerts are routed to Slack and PagerDuty through Alertmanager.</w:t>
      </w:r>
    </w:p>
    <w:p>
      <w:r>
        <w:rPr>
          <w:rFonts w:ascii="Times New Roman" w:hAnsi="Times New Roman"/>
          <w:b w:val="0"/>
          <w:i w:val="0"/>
          <w:sz w:val="22"/>
        </w:rPr>
        <w:t>This progress report documents the literature surveyed, the system requirements identified, the data sources and dataset descriptions used to exercise the platform, the project timeline expressed as a Gantt chart, and the design decisions taken so far. The report concludes by identifying the remaining work, the open risks, and the way forward toward the final delivery.</w:t>
      </w:r>
    </w:p>
    <w:p>
      <w:r>
        <w:rPr>
          <w:rFonts w:ascii="Times New Roman" w:hAnsi="Times New Roman"/>
          <w:b w:val="0"/>
          <w:i/>
          <w:sz w:val="22"/>
        </w:rPr>
        <w:t>Keywords: AWS, Terraform, Ansible, Kubernetes, EKS, DevOps, Infrastructure as Code, Monitoring, Logging, E-Commerce, CI/CD.</w:t>
      </w:r>
    </w:p>
    <w:p>
      <w:r>
        <w:br w:type="page"/>
      </w:r>
    </w:p>
    <w:p>
      <w:pPr>
        <w:pStyle w:val="Heading1"/>
      </w:pPr>
      <w:r>
        <w:rPr>
          <w:color w:val="000000"/>
        </w:rPr>
        <w:t>2. Introduction</w:t>
      </w:r>
    </w:p>
    <w:p>
      <w:r>
        <w:rPr>
          <w:rFonts w:ascii="Times New Roman" w:hAnsi="Times New Roman"/>
          <w:b w:val="0"/>
          <w:i w:val="0"/>
          <w:sz w:val="22"/>
        </w:rPr>
        <w:t>Online retail has grown into one of the largest segments of the global economy, and customer expectations on availability, latency and feature velocity have grown along with it. A regional outage that lasts a few minutes during a flash sale can translate into significant revenue and reputation loss. At the same time, the underlying technology stack of an e-commerce application has become increasingly heterogeneous: a typical deployment combines a single-page web frontend, a set of backend microservices, multiple data stores, a search index, message brokers, third-party payment integrations and a content delivery network. Provisioning all of these by hand is slow, error-prone, and impossible to audit.</w:t>
      </w:r>
    </w:p>
    <w:p>
      <w:r>
        <w:rPr>
          <w:rFonts w:ascii="Times New Roman" w:hAnsi="Times New Roman"/>
          <w:b w:val="0"/>
          <w:i w:val="0"/>
          <w:sz w:val="22"/>
        </w:rPr>
        <w:t>Infrastructure as Code (IaC) has emerged as the standard answer to this complexity. By declaring the desired state of cloud resources in version controlled configuration files, teams can recreate identical environments, review changes through pull requests, and roll back when something goes wrong. Terraform, an open-source IaC tool from HashiCorp, has become the de facto choice for multi-cloud provisioning because of its provider ecosystem and its declarative HashiCorp Configuration Language (HCL). Ansible complements Terraform by providing agentless, idempotent configuration management for the operating system, runtime and application layers.</w:t>
      </w:r>
    </w:p>
    <w:p>
      <w:r>
        <w:rPr>
          <w:rFonts w:ascii="Times New Roman" w:hAnsi="Times New Roman"/>
          <w:b w:val="0"/>
          <w:i w:val="0"/>
          <w:sz w:val="22"/>
        </w:rPr>
        <w:t>The proposed system uses Terraform to provision a production-grade AWS environment, Ansible to configure it, Kubernetes to orchestrate the containerized e-commerce workloads, and an open-source observability stack to monitor it. The result is an end-to-end pipeline in which a single command can stand up or tear down a fully working environment, while remaining transparent enough to satisfy the audit requirements that an online retailer is typically subject to.</w:t>
      </w:r>
    </w:p>
    <w:p>
      <w:pPr>
        <w:pStyle w:val="Heading2"/>
      </w:pPr>
      <w:r>
        <w:rPr>
          <w:color w:val="000000"/>
        </w:rPr>
        <w:t>2.1 Problem Statement</w:t>
      </w:r>
    </w:p>
    <w:p>
      <w:r>
        <w:rPr>
          <w:rFonts w:ascii="Times New Roman" w:hAnsi="Times New Roman"/>
          <w:b w:val="0"/>
          <w:i w:val="0"/>
          <w:sz w:val="22"/>
        </w:rPr>
        <w:t>Small and medium-sized e-commerce teams often build their first cloud deployment manually through the AWS Console. The resulting environment is not documented, cannot be reproduced for staging or disaster recovery, and is difficult to secure consistently. As traffic grows, scaling these manually-managed environments becomes risky: a single mis-clicked security group rule can expose customer data, and a forgotten resource can produce runaway bills. The team also lacks the observability needed to diagnose incidents quickly, because logs and metrics are scattered across services and accounts.</w:t>
      </w:r>
    </w:p>
    <w:p>
      <w:r>
        <w:rPr>
          <w:rFonts w:ascii="Times New Roman" w:hAnsi="Times New Roman"/>
          <w:b w:val="0"/>
          <w:i w:val="0"/>
          <w:sz w:val="22"/>
        </w:rPr>
        <w:t>The problem this project sets out to solve is therefore: how can a small engineering team deliver a secure, observable and elastically scalable e-commerce platform on AWS, using only declarative tooling, in a way that is reproducible across multiple environments and that can be operated by a single on-call engineer? Answering that question requires designing the Terraform module hierarchy, the Ansible role layout, the Kubernetes manifest structure, and the observability pipeline as a single coherent system.</w:t>
      </w:r>
    </w:p>
    <w:p>
      <w:pPr>
        <w:pStyle w:val="Heading2"/>
      </w:pPr>
      <w:r>
        <w:rPr>
          <w:color w:val="000000"/>
        </w:rPr>
        <w:t>2.2 Scope of the Problem</w:t>
      </w:r>
    </w:p>
    <w:p>
      <w:r>
        <w:rPr>
          <w:rFonts w:ascii="Times New Roman" w:hAnsi="Times New Roman"/>
          <w:b w:val="0"/>
          <w:i w:val="0"/>
          <w:sz w:val="22"/>
        </w:rPr>
        <w:t>The scope of this project covers the following:</w:t>
      </w:r>
    </w:p>
    <w:p>
      <w:pPr>
        <w:pStyle w:val="ListBullet"/>
        <w:ind w:left="360"/>
      </w:pPr>
      <w:r>
        <w:rPr>
          <w:rFonts w:ascii="Times New Roman" w:hAnsi="Times New Roman"/>
          <w:sz w:val="22"/>
        </w:rPr>
        <w:t>Designing a multi-account AWS landing zone with separate environments for development, staging and production.</w:t>
      </w:r>
    </w:p>
    <w:p>
      <w:pPr>
        <w:pStyle w:val="ListBullet"/>
        <w:ind w:left="360"/>
      </w:pPr>
      <w:r>
        <w:rPr>
          <w:rFonts w:ascii="Times New Roman" w:hAnsi="Times New Roman"/>
          <w:sz w:val="22"/>
        </w:rPr>
        <w:t>Authoring reusable Terraform modules for networking, compute, container orchestration, data stores and security.</w:t>
      </w:r>
    </w:p>
    <w:p>
      <w:pPr>
        <w:pStyle w:val="ListBullet"/>
        <w:ind w:left="360"/>
      </w:pPr>
      <w:r>
        <w:rPr>
          <w:rFonts w:ascii="Times New Roman" w:hAnsi="Times New Roman"/>
          <w:sz w:val="22"/>
        </w:rPr>
        <w:t>Authoring Ansible roles for bastion configuration, node hardening, and one-time bootstrap tasks that fall outside Kubernetes.</w:t>
      </w:r>
    </w:p>
    <w:p>
      <w:pPr>
        <w:pStyle w:val="ListBullet"/>
        <w:ind w:left="360"/>
      </w:pPr>
      <w:r>
        <w:rPr>
          <w:rFonts w:ascii="Times New Roman" w:hAnsi="Times New Roman"/>
          <w:sz w:val="22"/>
        </w:rPr>
        <w:t>Containerizing an open-source e-commerce reference application and deploying it to Amazon EKS through Helm charts.</w:t>
      </w:r>
    </w:p>
    <w:p>
      <w:pPr>
        <w:pStyle w:val="ListBullet"/>
        <w:ind w:left="360"/>
      </w:pPr>
      <w:r>
        <w:rPr>
          <w:rFonts w:ascii="Times New Roman" w:hAnsi="Times New Roman"/>
          <w:sz w:val="22"/>
        </w:rPr>
        <w:t>Implementing a CI/CD pipeline in GitHub Actions that runs static analysis, unit tests, security scans, image builds and Helm releases.</w:t>
      </w:r>
    </w:p>
    <w:p>
      <w:pPr>
        <w:pStyle w:val="ListBullet"/>
        <w:ind w:left="360"/>
      </w:pPr>
      <w:r>
        <w:rPr>
          <w:rFonts w:ascii="Times New Roman" w:hAnsi="Times New Roman"/>
          <w:sz w:val="22"/>
        </w:rPr>
        <w:t>Configuring monitoring with Prometheus, Grafana, kube-state-metrics, node-exporter and the AWS CloudWatch Container Insights add-on.</w:t>
      </w:r>
    </w:p>
    <w:p>
      <w:pPr>
        <w:pStyle w:val="ListBullet"/>
        <w:ind w:left="360"/>
      </w:pPr>
      <w:r>
        <w:rPr>
          <w:rFonts w:ascii="Times New Roman" w:hAnsi="Times New Roman"/>
          <w:sz w:val="22"/>
        </w:rPr>
        <w:t>Configuring centralized logging with Promtail, Loki and CloudWatch Logs, and routing alerts through Alertmanager to Slack and PagerDuty.</w:t>
      </w:r>
    </w:p>
    <w:p>
      <w:pPr>
        <w:pStyle w:val="ListBullet"/>
        <w:ind w:left="360"/>
      </w:pPr>
      <w:r>
        <w:rPr>
          <w:rFonts w:ascii="Times New Roman" w:hAnsi="Times New Roman"/>
          <w:sz w:val="22"/>
        </w:rPr>
        <w:t>Documenting runbooks, dashboards and disaster-recovery procedures so that the platform can be operated by an on-call rotation.</w:t>
      </w:r>
    </w:p>
    <w:p>
      <w:r>
        <w:rPr>
          <w:rFonts w:ascii="Times New Roman" w:hAnsi="Times New Roman"/>
          <w:b w:val="0"/>
          <w:i w:val="0"/>
          <w:sz w:val="22"/>
        </w:rPr>
        <w:t>The following are explicitly out of scope:</w:t>
      </w:r>
    </w:p>
    <w:p>
      <w:pPr>
        <w:pStyle w:val="ListBullet"/>
        <w:ind w:left="360"/>
      </w:pPr>
      <w:r>
        <w:rPr>
          <w:rFonts w:ascii="Times New Roman" w:hAnsi="Times New Roman"/>
          <w:sz w:val="22"/>
        </w:rPr>
        <w:t>Building the e-commerce business logic itself; an open-source reference application is reused.</w:t>
      </w:r>
    </w:p>
    <w:p>
      <w:pPr>
        <w:pStyle w:val="ListBullet"/>
        <w:ind w:left="360"/>
      </w:pPr>
      <w:r>
        <w:rPr>
          <w:rFonts w:ascii="Times New Roman" w:hAnsi="Times New Roman"/>
          <w:sz w:val="22"/>
        </w:rPr>
        <w:t>Multi-cloud or hybrid-cloud deployment; the project targets AWS only.</w:t>
      </w:r>
    </w:p>
    <w:p>
      <w:pPr>
        <w:pStyle w:val="ListBullet"/>
        <w:ind w:left="360"/>
      </w:pPr>
      <w:r>
        <w:rPr>
          <w:rFonts w:ascii="Times New Roman" w:hAnsi="Times New Roman"/>
          <w:sz w:val="22"/>
        </w:rPr>
        <w:t>Compliance certification work such as PCI-DSS audits, although controls that support such certification are documented.</w:t>
      </w:r>
    </w:p>
    <w:p>
      <w:pPr>
        <w:pStyle w:val="ListBullet"/>
        <w:ind w:left="360"/>
      </w:pPr>
      <w:r>
        <w:rPr>
          <w:rFonts w:ascii="Times New Roman" w:hAnsi="Times New Roman"/>
          <w:sz w:val="22"/>
        </w:rPr>
        <w:t>Replacing managed AWS services with self-hosted equivalents where a managed service is the obvious paved path (for example, RDS rather than self-hosted PostgreSQL).</w:t>
      </w:r>
    </w:p>
    <w:p>
      <w:pPr>
        <w:pStyle w:val="Heading2"/>
      </w:pPr>
      <w:r>
        <w:rPr>
          <w:color w:val="000000"/>
        </w:rPr>
        <w:t>2.3 Objectives</w:t>
      </w:r>
    </w:p>
    <w:p>
      <w:pPr>
        <w:pStyle w:val="ListBullet"/>
        <w:ind w:left="360"/>
      </w:pPr>
      <w:r>
        <w:rPr>
          <w:rFonts w:ascii="Times New Roman" w:hAnsi="Times New Roman"/>
          <w:sz w:val="22"/>
        </w:rPr>
        <w:t>Provision a fully working AWS environment for an e-commerce workload using a single `terraform apply` command, with no manual console steps.</w:t>
      </w:r>
    </w:p>
    <w:p>
      <w:pPr>
        <w:pStyle w:val="ListBullet"/>
        <w:ind w:left="360"/>
      </w:pPr>
      <w:r>
        <w:rPr>
          <w:rFonts w:ascii="Times New Roman" w:hAnsi="Times New Roman"/>
          <w:sz w:val="22"/>
        </w:rPr>
        <w:t>Achieve repeatable configuration of every node and service through Ansible playbooks that can be re-run safely.</w:t>
      </w:r>
    </w:p>
    <w:p>
      <w:pPr>
        <w:pStyle w:val="ListBullet"/>
        <w:ind w:left="360"/>
      </w:pPr>
      <w:r>
        <w:rPr>
          <w:rFonts w:ascii="Times New Roman" w:hAnsi="Times New Roman"/>
          <w:sz w:val="22"/>
        </w:rPr>
        <w:t>Deploy the e-commerce application to Kubernetes with zero-downtime rolling updates and automated rollback on health-check failure.</w:t>
      </w:r>
    </w:p>
    <w:p>
      <w:pPr>
        <w:pStyle w:val="ListBullet"/>
        <w:ind w:left="360"/>
      </w:pPr>
      <w:r>
        <w:rPr>
          <w:rFonts w:ascii="Times New Roman" w:hAnsi="Times New Roman"/>
          <w:sz w:val="22"/>
        </w:rPr>
        <w:t>Provide dashboards covering the four golden signals (latency, traffic, errors, saturation) for every microservice.</w:t>
      </w:r>
    </w:p>
    <w:p>
      <w:pPr>
        <w:pStyle w:val="ListBullet"/>
        <w:ind w:left="360"/>
      </w:pPr>
      <w:r>
        <w:rPr>
          <w:rFonts w:ascii="Times New Roman" w:hAnsi="Times New Roman"/>
          <w:sz w:val="22"/>
        </w:rPr>
        <w:t>Enable structured, indexed and searchable logs with retention policies that match operational and regulatory needs.</w:t>
      </w:r>
    </w:p>
    <w:p>
      <w:pPr>
        <w:pStyle w:val="ListBullet"/>
        <w:ind w:left="360"/>
      </w:pPr>
      <w:r>
        <w:rPr>
          <w:rFonts w:ascii="Times New Roman" w:hAnsi="Times New Roman"/>
          <w:sz w:val="22"/>
        </w:rPr>
        <w:t>Document the platform thoroughly enough that a new engineer can run a disaster-recovery drill within their first week.</w:t>
      </w:r>
    </w:p>
    <w:p>
      <w:pPr>
        <w:pStyle w:val="Heading2"/>
      </w:pPr>
      <w:r>
        <w:rPr>
          <w:color w:val="000000"/>
        </w:rPr>
        <w:t>2.4 Proposed System Overview</w:t>
      </w:r>
    </w:p>
    <w:p>
      <w:r>
        <w:rPr>
          <w:rFonts w:ascii="Times New Roman" w:hAnsi="Times New Roman"/>
          <w:b w:val="0"/>
          <w:i w:val="0"/>
          <w:sz w:val="22"/>
        </w:rPr>
        <w:t>The proposed system is structured as four layers that build on top of each other. At the bottom sits the AWS landing zone, organised through AWS Organizations and AWS Control Tower, which provides separate accounts for shared services, development, staging and production. Above the landing zone, Terraform modules describe the network, the EKS cluster, the data stores and the supporting services. The third layer is Ansible, which performs the bootstrap tasks that fall outside Kubernetes, such as configuring the bastion host, hardening the operating system on self-managed nodes, and seeding the cluster with namespaces and base secrets. The top layer is the application itself, packaged as Helm charts and deployed through GitHub Actions.</w:t>
      </w:r>
    </w:p>
    <w:p>
      <w:r>
        <w:rPr>
          <w:rFonts w:ascii="Times New Roman" w:hAnsi="Times New Roman"/>
          <w:b w:val="0"/>
          <w:i w:val="0"/>
          <w:sz w:val="22"/>
        </w:rPr>
        <w:t>The microservices that make up the reference application communicate over a service mesh provided by Istio, which adds mutual TLS, retries, timeouts and traffic shifting without modifying application code. Stateful concerns are delegated to managed services: PostgreSQL via Amazon RDS, Redis via Amazon ElastiCache, object storage via Amazon S3, and message queues via Amazon Simple Queue Service. This deliberate separation between stateless compute on Kubernetes and stateful services managed by AWS keeps cluster upgrades simple and recovery objectives achievable.</w:t>
      </w:r>
    </w:p>
    <w:p>
      <w:pPr>
        <w:pStyle w:val="Heading2"/>
      </w:pPr>
      <w:r>
        <w:rPr>
          <w:color w:val="000000"/>
        </w:rPr>
        <w:t>2.5 Expected Outcomes</w:t>
      </w:r>
    </w:p>
    <w:p>
      <w:pPr>
        <w:pStyle w:val="ListBullet"/>
        <w:ind w:left="360"/>
      </w:pPr>
      <w:r>
        <w:rPr>
          <w:rFonts w:ascii="Times New Roman" w:hAnsi="Times New Roman"/>
          <w:sz w:val="22"/>
        </w:rPr>
        <w:t>A reusable Terraform module catalogue published as a private registry within the organisation, with semantic versioning and changelogs.</w:t>
      </w:r>
    </w:p>
    <w:p>
      <w:pPr>
        <w:pStyle w:val="ListBullet"/>
        <w:ind w:left="360"/>
      </w:pPr>
      <w:r>
        <w:rPr>
          <w:rFonts w:ascii="Times New Roman" w:hAnsi="Times New Roman"/>
          <w:sz w:val="22"/>
        </w:rPr>
        <w:t>A reusable Ansible role catalogue with explicit inputs, defaults and tested example plays.</w:t>
      </w:r>
    </w:p>
    <w:p>
      <w:pPr>
        <w:pStyle w:val="ListBullet"/>
        <w:ind w:left="360"/>
      </w:pPr>
      <w:r>
        <w:rPr>
          <w:rFonts w:ascii="Times New Roman" w:hAnsi="Times New Roman"/>
          <w:sz w:val="22"/>
        </w:rPr>
        <w:t>A working reference deployment that can be reproduced from a clean AWS account in under sixty minutes.</w:t>
      </w:r>
    </w:p>
    <w:p>
      <w:pPr>
        <w:pStyle w:val="ListBullet"/>
        <w:ind w:left="360"/>
      </w:pPr>
      <w:r>
        <w:rPr>
          <w:rFonts w:ascii="Times New Roman" w:hAnsi="Times New Roman"/>
          <w:sz w:val="22"/>
        </w:rPr>
        <w:t>A documented set of runbooks for common operational scenarios such as scaling events, dependency outages and certificate rotations.</w:t>
      </w:r>
    </w:p>
    <w:p>
      <w:pPr>
        <w:pStyle w:val="ListBullet"/>
        <w:ind w:left="360"/>
      </w:pPr>
      <w:r>
        <w:rPr>
          <w:rFonts w:ascii="Times New Roman" w:hAnsi="Times New Roman"/>
          <w:sz w:val="22"/>
        </w:rPr>
        <w:t>A measurable improvement in mean time to recovery (MTTR), captured through the chaos-engineering experiments described in Section 6.</w:t>
      </w:r>
    </w:p>
    <w:p>
      <w:r>
        <w:br w:type="page"/>
      </w:r>
    </w:p>
    <w:p>
      <w:pPr>
        <w:pStyle w:val="Heading1"/>
      </w:pPr>
      <w:r>
        <w:rPr>
          <w:color w:val="000000"/>
        </w:rPr>
        <w:t>3. System Requirements</w:t>
      </w:r>
    </w:p>
    <w:p>
      <w:r>
        <w:rPr>
          <w:rFonts w:ascii="Times New Roman" w:hAnsi="Times New Roman"/>
          <w:b w:val="0"/>
          <w:i w:val="0"/>
          <w:sz w:val="22"/>
        </w:rPr>
        <w:t>The system requirements for this project are split into functional, non-functional, hardware and software categories. The platform is intended to be operated on AWS, but the developer workstation requirements are listed as well so the project can be reproduced from a clean machine.</w:t>
      </w:r>
    </w:p>
    <w:p>
      <w:pPr>
        <w:pStyle w:val="Heading2"/>
      </w:pPr>
      <w:r>
        <w:rPr>
          <w:color w:val="000000"/>
        </w:rPr>
        <w:t>3.1 Functional Requirements</w:t>
      </w:r>
    </w:p>
    <w:p>
      <w:pPr>
        <w:pStyle w:val="ListBullet"/>
        <w:ind w:left="360"/>
      </w:pPr>
      <w:r>
        <w:rPr>
          <w:rFonts w:ascii="Times New Roman" w:hAnsi="Times New Roman"/>
          <w:sz w:val="22"/>
        </w:rPr>
        <w:t>The platform must allow the operator to create, update and destroy any environment through Terraform commands wrapped by a single Makefile target.</w:t>
      </w:r>
    </w:p>
    <w:p>
      <w:pPr>
        <w:pStyle w:val="ListBullet"/>
        <w:ind w:left="360"/>
      </w:pPr>
      <w:r>
        <w:rPr>
          <w:rFonts w:ascii="Times New Roman" w:hAnsi="Times New Roman"/>
          <w:sz w:val="22"/>
        </w:rPr>
        <w:t>The platform must allow the operator to configure operating system level concerns through Ansible playbooks selected by environment-specific inventories.</w:t>
      </w:r>
    </w:p>
    <w:p>
      <w:pPr>
        <w:pStyle w:val="ListBullet"/>
        <w:ind w:left="360"/>
      </w:pPr>
      <w:r>
        <w:rPr>
          <w:rFonts w:ascii="Times New Roman" w:hAnsi="Times New Roman"/>
          <w:sz w:val="22"/>
        </w:rPr>
        <w:t>The Kubernetes cluster must run a containerized e-commerce reference application consisting of at least a frontend, a catalog service, a cart service, an order service and a payment gateway adapter.</w:t>
      </w:r>
    </w:p>
    <w:p>
      <w:pPr>
        <w:pStyle w:val="ListBullet"/>
        <w:ind w:left="360"/>
      </w:pPr>
      <w:r>
        <w:rPr>
          <w:rFonts w:ascii="Times New Roman" w:hAnsi="Times New Roman"/>
          <w:sz w:val="22"/>
        </w:rPr>
        <w:t>The platform must provide horizontal pod autoscaling driven by CPU and custom request-rate metrics.</w:t>
      </w:r>
    </w:p>
    <w:p>
      <w:pPr>
        <w:pStyle w:val="ListBullet"/>
        <w:ind w:left="360"/>
      </w:pPr>
      <w:r>
        <w:rPr>
          <w:rFonts w:ascii="Times New Roman" w:hAnsi="Times New Roman"/>
          <w:sz w:val="22"/>
        </w:rPr>
        <w:t>The CI/CD pipeline must build images, run security scans, push to ECR and roll out new releases to staging on every merge to main, and to production on every git tag.</w:t>
      </w:r>
    </w:p>
    <w:p>
      <w:pPr>
        <w:pStyle w:val="ListBullet"/>
        <w:ind w:left="360"/>
      </w:pPr>
      <w:r>
        <w:rPr>
          <w:rFonts w:ascii="Times New Roman" w:hAnsi="Times New Roman"/>
          <w:sz w:val="22"/>
        </w:rPr>
        <w:t>The platform must provide a public ingress with TLS termination and HTTP-to-HTTPS redirection.</w:t>
      </w:r>
    </w:p>
    <w:p>
      <w:pPr>
        <w:pStyle w:val="ListBullet"/>
        <w:ind w:left="360"/>
      </w:pPr>
      <w:r>
        <w:rPr>
          <w:rFonts w:ascii="Times New Roman" w:hAnsi="Times New Roman"/>
          <w:sz w:val="22"/>
        </w:rPr>
        <w:t>The platform must capture metrics, logs and traces from every microservice and expose them through Grafana dashboards.</w:t>
      </w:r>
    </w:p>
    <w:p>
      <w:pPr>
        <w:pStyle w:val="ListBullet"/>
        <w:ind w:left="360"/>
      </w:pPr>
      <w:r>
        <w:rPr>
          <w:rFonts w:ascii="Times New Roman" w:hAnsi="Times New Roman"/>
          <w:sz w:val="22"/>
        </w:rPr>
        <w:t>The platform must alert the on-call engineer through Slack and PagerDuty when service-level objectives are breached.</w:t>
      </w:r>
    </w:p>
    <w:p>
      <w:pPr>
        <w:pStyle w:val="Heading2"/>
      </w:pPr>
      <w:r>
        <w:rPr>
          <w:color w:val="000000"/>
        </w:rPr>
        <w:t>3.2 Non-Functional Requirements</w:t>
      </w:r>
    </w:p>
    <w:p>
      <w:pPr>
        <w:pStyle w:val="ListBullet"/>
        <w:ind w:left="360"/>
      </w:pPr>
      <w:r>
        <w:rPr>
          <w:rFonts w:ascii="Times New Roman" w:hAnsi="Times New Roman"/>
          <w:sz w:val="22"/>
        </w:rPr>
        <w:t>Availability: the production environment must target 99.9% monthly availability for the storefront, measured from a synthetic check.</w:t>
      </w:r>
    </w:p>
    <w:p>
      <w:pPr>
        <w:pStyle w:val="ListBullet"/>
        <w:ind w:left="360"/>
      </w:pPr>
      <w:r>
        <w:rPr>
          <w:rFonts w:ascii="Times New Roman" w:hAnsi="Times New Roman"/>
          <w:sz w:val="22"/>
        </w:rPr>
        <w:t>Performance: 95th-percentile response time at the storefront ingress must remain under 500 ms during the load tests described in Section 5.</w:t>
      </w:r>
    </w:p>
    <w:p>
      <w:pPr>
        <w:pStyle w:val="ListBullet"/>
        <w:ind w:left="360"/>
      </w:pPr>
      <w:r>
        <w:rPr>
          <w:rFonts w:ascii="Times New Roman" w:hAnsi="Times New Roman"/>
          <w:sz w:val="22"/>
        </w:rPr>
        <w:t>Scalability: the platform must scale from 50 to 5000 concurrent users by adding worker nodes and pods, without manual reconfiguration.</w:t>
      </w:r>
    </w:p>
    <w:p>
      <w:pPr>
        <w:pStyle w:val="ListBullet"/>
        <w:ind w:left="360"/>
      </w:pPr>
      <w:r>
        <w:rPr>
          <w:rFonts w:ascii="Times New Roman" w:hAnsi="Times New Roman"/>
          <w:sz w:val="22"/>
        </w:rPr>
        <w:t>Security: every traffic flow must be encrypted in transit, every secret must come from AWS Secrets Manager or Kubernetes secrets sealed with KMS, and every IAM policy must follow the principle of least privilege.</w:t>
      </w:r>
    </w:p>
    <w:p>
      <w:pPr>
        <w:pStyle w:val="ListBullet"/>
        <w:ind w:left="360"/>
      </w:pPr>
      <w:r>
        <w:rPr>
          <w:rFonts w:ascii="Times New Roman" w:hAnsi="Times New Roman"/>
          <w:sz w:val="22"/>
        </w:rPr>
        <w:t>Auditability: every infrastructure change must be made through a pull request that triggers `terraform plan`, and the resulting plan must be visible on the pull request before merge.</w:t>
      </w:r>
    </w:p>
    <w:p>
      <w:pPr>
        <w:pStyle w:val="ListBullet"/>
        <w:ind w:left="360"/>
      </w:pPr>
      <w:r>
        <w:rPr>
          <w:rFonts w:ascii="Times New Roman" w:hAnsi="Times New Roman"/>
          <w:sz w:val="22"/>
        </w:rPr>
        <w:t>Cost transparency: the platform must report estimated monthly cost per environment through Infracost on every pull request.</w:t>
      </w:r>
    </w:p>
    <w:p>
      <w:pPr>
        <w:pStyle w:val="ListBullet"/>
        <w:ind w:left="360"/>
      </w:pPr>
      <w:r>
        <w:rPr>
          <w:rFonts w:ascii="Times New Roman" w:hAnsi="Times New Roman"/>
          <w:sz w:val="22"/>
        </w:rPr>
        <w:t>Recoverability: the platform must recover from the loss of any single Availability Zone within fifteen minutes without manual intervention.</w:t>
      </w:r>
    </w:p>
    <w:p>
      <w:pPr>
        <w:pStyle w:val="Heading2"/>
      </w:pPr>
      <w:r>
        <w:rPr>
          <w:color w:val="000000"/>
        </w:rPr>
        <w:t>3.3 Hardware Requirements</w:t>
      </w:r>
    </w:p>
    <w:p>
      <w:r>
        <w:rPr>
          <w:rFonts w:ascii="Times New Roman" w:hAnsi="Times New Roman"/>
          <w:b/>
          <w:i w:val="0"/>
          <w:sz w:val="22"/>
        </w:rPr>
        <w:t>Developer workstation:</w:t>
      </w:r>
    </w:p>
    <w:p>
      <w:pPr>
        <w:pStyle w:val="ListBullet"/>
        <w:ind w:left="360"/>
      </w:pPr>
      <w:r>
        <w:rPr>
          <w:rFonts w:ascii="Times New Roman" w:hAnsi="Times New Roman"/>
          <w:sz w:val="22"/>
        </w:rPr>
        <w:t>Processor: x86_64 or Apple Silicon, 4 physical cores or more.</w:t>
      </w:r>
    </w:p>
    <w:p>
      <w:pPr>
        <w:pStyle w:val="ListBullet"/>
        <w:ind w:left="360"/>
      </w:pPr>
      <w:r>
        <w:rPr>
          <w:rFonts w:ascii="Times New Roman" w:hAnsi="Times New Roman"/>
          <w:sz w:val="22"/>
        </w:rPr>
        <w:t>Memory: 16 GB RAM minimum, 32 GB recommended for running local Kubernetes (kind or minikube).</w:t>
      </w:r>
    </w:p>
    <w:p>
      <w:pPr>
        <w:pStyle w:val="ListBullet"/>
        <w:ind w:left="360"/>
      </w:pPr>
      <w:r>
        <w:rPr>
          <w:rFonts w:ascii="Times New Roman" w:hAnsi="Times New Roman"/>
          <w:sz w:val="22"/>
        </w:rPr>
        <w:t>Storage: 100 GB free SSD space for container images, Terraform plugin cache, and local state.</w:t>
      </w:r>
    </w:p>
    <w:p>
      <w:pPr>
        <w:pStyle w:val="ListBullet"/>
        <w:ind w:left="360"/>
      </w:pPr>
      <w:r>
        <w:rPr>
          <w:rFonts w:ascii="Times New Roman" w:hAnsi="Times New Roman"/>
          <w:sz w:val="22"/>
        </w:rPr>
        <w:t>Network: stable broadband connection with at least 20 Mbps upload to push images to ECR.</w:t>
      </w:r>
    </w:p>
    <w:p>
      <w:r>
        <w:rPr>
          <w:rFonts w:ascii="Times New Roman" w:hAnsi="Times New Roman"/>
          <w:b/>
          <w:i w:val="0"/>
          <w:sz w:val="22"/>
        </w:rPr>
        <w:t>AWS environment (per region, production sizing):</w:t>
      </w:r>
    </w:p>
    <w:p>
      <w:pPr>
        <w:pStyle w:val="ListBullet"/>
        <w:ind w:left="360"/>
      </w:pPr>
      <w:r>
        <w:rPr>
          <w:rFonts w:ascii="Times New Roman" w:hAnsi="Times New Roman"/>
          <w:sz w:val="22"/>
        </w:rPr>
        <w:t>Amazon EKS control plane (managed).</w:t>
      </w:r>
    </w:p>
    <w:p>
      <w:pPr>
        <w:pStyle w:val="ListBullet"/>
        <w:ind w:left="360"/>
      </w:pPr>
      <w:r>
        <w:rPr>
          <w:rFonts w:ascii="Times New Roman" w:hAnsi="Times New Roman"/>
          <w:sz w:val="22"/>
        </w:rPr>
        <w:t>Three EKS worker node groups using m5.large or m5.xlarge instances, spread across three Availability Zones.</w:t>
      </w:r>
    </w:p>
    <w:p>
      <w:pPr>
        <w:pStyle w:val="ListBullet"/>
        <w:ind w:left="360"/>
      </w:pPr>
      <w:r>
        <w:rPr>
          <w:rFonts w:ascii="Times New Roman" w:hAnsi="Times New Roman"/>
          <w:sz w:val="22"/>
        </w:rPr>
        <w:t>Amazon RDS for PostgreSQL, db.t3.medium for staging and db.m5.large Multi-AZ for production.</w:t>
      </w:r>
    </w:p>
    <w:p>
      <w:pPr>
        <w:pStyle w:val="ListBullet"/>
        <w:ind w:left="360"/>
      </w:pPr>
      <w:r>
        <w:rPr>
          <w:rFonts w:ascii="Times New Roman" w:hAnsi="Times New Roman"/>
          <w:sz w:val="22"/>
        </w:rPr>
        <w:t>Amazon ElastiCache for Redis, cache.t3.small for staging and cache.m5.large for production.</w:t>
      </w:r>
    </w:p>
    <w:p>
      <w:pPr>
        <w:pStyle w:val="ListBullet"/>
        <w:ind w:left="360"/>
      </w:pPr>
      <w:r>
        <w:rPr>
          <w:rFonts w:ascii="Times New Roman" w:hAnsi="Times New Roman"/>
          <w:sz w:val="22"/>
        </w:rPr>
        <w:t>Amazon S3 buckets for product images, static assets and Terraform state.</w:t>
      </w:r>
    </w:p>
    <w:p>
      <w:pPr>
        <w:pStyle w:val="ListBullet"/>
        <w:ind w:left="360"/>
      </w:pPr>
      <w:r>
        <w:rPr>
          <w:rFonts w:ascii="Times New Roman" w:hAnsi="Times New Roman"/>
          <w:sz w:val="22"/>
        </w:rPr>
        <w:t>Amazon CloudFront distribution fronting the storefront and the static assets bucket.</w:t>
      </w:r>
    </w:p>
    <w:p>
      <w:pPr>
        <w:pStyle w:val="Heading2"/>
      </w:pPr>
      <w:r>
        <w:rPr>
          <w:color w:val="000000"/>
        </w:rPr>
        <w:t>3.4 Software Requirements</w:t>
      </w:r>
    </w:p>
    <w:p>
      <w:r>
        <w:rPr>
          <w:rFonts w:ascii="Times New Roman" w:hAnsi="Times New Roman"/>
          <w:b/>
          <w:i w:val="0"/>
          <w:sz w:val="22"/>
        </w:rPr>
        <w:t>Workstation tooling:</w:t>
      </w:r>
    </w:p>
    <w:p>
      <w:pPr>
        <w:pStyle w:val="ListBullet"/>
        <w:ind w:left="360"/>
      </w:pPr>
      <w:r>
        <w:rPr>
          <w:rFonts w:ascii="Times New Roman" w:hAnsi="Times New Roman"/>
          <w:sz w:val="22"/>
        </w:rPr>
        <w:t>Operating system: macOS 13+, Ubuntu 22.04+ or Windows 11 with WSL2.</w:t>
      </w:r>
    </w:p>
    <w:p>
      <w:pPr>
        <w:pStyle w:val="ListBullet"/>
        <w:ind w:left="360"/>
      </w:pPr>
      <w:r>
        <w:rPr>
          <w:rFonts w:ascii="Times New Roman" w:hAnsi="Times New Roman"/>
          <w:sz w:val="22"/>
        </w:rPr>
        <w:t>Terraform 1.7 or later.</w:t>
      </w:r>
    </w:p>
    <w:p>
      <w:pPr>
        <w:pStyle w:val="ListBullet"/>
        <w:ind w:left="360"/>
      </w:pPr>
      <w:r>
        <w:rPr>
          <w:rFonts w:ascii="Times New Roman" w:hAnsi="Times New Roman"/>
          <w:sz w:val="22"/>
        </w:rPr>
        <w:t>Ansible 9 or later.</w:t>
      </w:r>
    </w:p>
    <w:p>
      <w:pPr>
        <w:pStyle w:val="ListBullet"/>
        <w:ind w:left="360"/>
      </w:pPr>
      <w:r>
        <w:rPr>
          <w:rFonts w:ascii="Times New Roman" w:hAnsi="Times New Roman"/>
          <w:sz w:val="22"/>
        </w:rPr>
        <w:t>AWS CLI v2.</w:t>
      </w:r>
    </w:p>
    <w:p>
      <w:pPr>
        <w:pStyle w:val="ListBullet"/>
        <w:ind w:left="360"/>
      </w:pPr>
      <w:r>
        <w:rPr>
          <w:rFonts w:ascii="Times New Roman" w:hAnsi="Times New Roman"/>
          <w:sz w:val="22"/>
        </w:rPr>
        <w:t>kubectl 1.29 or later, helm 3.14 or later.</w:t>
      </w:r>
    </w:p>
    <w:p>
      <w:pPr>
        <w:pStyle w:val="ListBullet"/>
        <w:ind w:left="360"/>
      </w:pPr>
      <w:r>
        <w:rPr>
          <w:rFonts w:ascii="Times New Roman" w:hAnsi="Times New Roman"/>
          <w:sz w:val="22"/>
        </w:rPr>
        <w:t>Docker 25 or later, or an equivalent OCI runtime.</w:t>
      </w:r>
    </w:p>
    <w:p>
      <w:pPr>
        <w:pStyle w:val="ListBullet"/>
        <w:ind w:left="360"/>
      </w:pPr>
      <w:r>
        <w:rPr>
          <w:rFonts w:ascii="Times New Roman" w:hAnsi="Times New Roman"/>
          <w:sz w:val="22"/>
        </w:rPr>
        <w:t>Git 2.40 or later, GitHub CLI.</w:t>
      </w:r>
    </w:p>
    <w:p>
      <w:pPr>
        <w:pStyle w:val="ListBullet"/>
        <w:ind w:left="360"/>
      </w:pPr>
      <w:r>
        <w:rPr>
          <w:rFonts w:ascii="Times New Roman" w:hAnsi="Times New Roman"/>
          <w:sz w:val="22"/>
        </w:rPr>
        <w:t>Visual Studio Code with the HashiCorp Terraform, YAML, Python and Kubernetes extensions.</w:t>
      </w:r>
    </w:p>
    <w:p>
      <w:r>
        <w:rPr>
          <w:rFonts w:ascii="Times New Roman" w:hAnsi="Times New Roman"/>
          <w:b/>
          <w:i w:val="0"/>
          <w:sz w:val="22"/>
        </w:rPr>
        <w:t>Cloud and platform services:</w:t>
      </w:r>
    </w:p>
    <w:p>
      <w:pPr>
        <w:pStyle w:val="ListBullet"/>
        <w:ind w:left="360"/>
      </w:pPr>
      <w:r>
        <w:rPr>
          <w:rFonts w:ascii="Times New Roman" w:hAnsi="Times New Roman"/>
          <w:sz w:val="22"/>
        </w:rPr>
        <w:t>AWS account with administrator access for bootstrap and a least-privilege role for day-to-day operations.</w:t>
      </w:r>
    </w:p>
    <w:p>
      <w:pPr>
        <w:pStyle w:val="ListBullet"/>
        <w:ind w:left="360"/>
      </w:pPr>
      <w:r>
        <w:rPr>
          <w:rFonts w:ascii="Times New Roman" w:hAnsi="Times New Roman"/>
          <w:sz w:val="22"/>
        </w:rPr>
        <w:t>Amazon EKS, ECR, RDS, ElastiCache, S3, CloudFront, IAM, KMS, Secrets Manager, CloudWatch and Route 53.</w:t>
      </w:r>
    </w:p>
    <w:p>
      <w:pPr>
        <w:pStyle w:val="ListBullet"/>
        <w:ind w:left="360"/>
      </w:pPr>
      <w:r>
        <w:rPr>
          <w:rFonts w:ascii="Times New Roman" w:hAnsi="Times New Roman"/>
          <w:sz w:val="22"/>
        </w:rPr>
        <w:t>Prometheus, Alertmanager, Grafana, Loki, Promtail (deployed through Helm).</w:t>
      </w:r>
    </w:p>
    <w:p>
      <w:pPr>
        <w:pStyle w:val="ListBullet"/>
        <w:ind w:left="360"/>
      </w:pPr>
      <w:r>
        <w:rPr>
          <w:rFonts w:ascii="Times New Roman" w:hAnsi="Times New Roman"/>
          <w:sz w:val="22"/>
        </w:rPr>
        <w:t>GitHub repository with GitHub Actions and OpenID Connect federation to AWS.</w:t>
      </w:r>
    </w:p>
    <w:p>
      <w:r>
        <w:br w:type="page"/>
      </w:r>
    </w:p>
    <w:p>
      <w:pPr>
        <w:pStyle w:val="Heading1"/>
      </w:pPr>
      <w:r>
        <w:rPr>
          <w:color w:val="000000"/>
        </w:rPr>
        <w:t>4. Literature Review</w:t>
      </w:r>
    </w:p>
    <w:p>
      <w:r>
        <w:rPr>
          <w:rFonts w:ascii="Times New Roman" w:hAnsi="Times New Roman"/>
          <w:b w:val="0"/>
          <w:i w:val="0"/>
          <w:sz w:val="22"/>
        </w:rPr>
        <w:t>This section surveys the literature and industry practice that shapes the design of the platform. The review covers four themes: infrastructure as code, configuration management, container orchestration on AWS, and observability for microservices.</w:t>
      </w:r>
    </w:p>
    <w:p>
      <w:pPr>
        <w:pStyle w:val="Heading2"/>
      </w:pPr>
      <w:r>
        <w:rPr>
          <w:color w:val="000000"/>
        </w:rPr>
        <w:t>4.1 Infrastructure as Code</w:t>
      </w:r>
    </w:p>
    <w:p>
      <w:r>
        <w:rPr>
          <w:rFonts w:ascii="Times New Roman" w:hAnsi="Times New Roman"/>
          <w:b w:val="0"/>
          <w:i w:val="0"/>
          <w:sz w:val="22"/>
        </w:rPr>
        <w:t>Morris (2020) defines infrastructure as code as the practice of defining infrastructure resources in source files that can be versioned, reviewed and tested in the same way as application code. The author argues that the principal benefit is not automation, which can also be achieved by shell scripts, but the ability to reason about the desired state of an environment and to detect drift from it. Brikman (2022) extends this argument with concrete patterns for Terraform, including the separation of root modules per environment, the use of remote state backends with DynamoDB locking, and the importance of pinning provider versions to avoid non-deterministic plans.</w:t>
      </w:r>
    </w:p>
    <w:p>
      <w:r>
        <w:rPr>
          <w:rFonts w:ascii="Times New Roman" w:hAnsi="Times New Roman"/>
          <w:b w:val="0"/>
          <w:i w:val="0"/>
          <w:sz w:val="22"/>
        </w:rPr>
        <w:t>Empirical work by Guerriero et al. (2019) studied 1,895 IaC repositories and reported that the most common defects are credential leakage, missing encryption, and overly permissive security groups. Their findings motivate the use of static analysis tools such as tfsec, Checkov and Terrascan in the CI pipeline of this project, and the adoption of pre-merge `terraform plan` review as a non-negotiable control.</w:t>
      </w:r>
    </w:p>
    <w:p>
      <w:pPr>
        <w:pStyle w:val="Heading2"/>
      </w:pPr>
      <w:r>
        <w:rPr>
          <w:color w:val="000000"/>
        </w:rPr>
        <w:t>4.2 Configuration Management with Ansible</w:t>
      </w:r>
    </w:p>
    <w:p>
      <w:r>
        <w:rPr>
          <w:rFonts w:ascii="Times New Roman" w:hAnsi="Times New Roman"/>
          <w:b w:val="0"/>
          <w:i w:val="0"/>
          <w:sz w:val="22"/>
        </w:rPr>
        <w:t>Hochstein and Moser (2017) describe Ansible as the dominant agentless configuration management tool, and present idempotence and inventory design as its two most important concepts. They observe that Ansible's module ecosystem allows the same playbook to manage Linux servers, network devices, and Kubernetes resources, which makes it a natural complement to Terraform when bootstrap tasks fall outside cloud APIs. The Red Hat Ansible Automation Platform documentation further recommends the use of roles, collections and dynamic inventories sourced from Terraform outputs, all of which are adopted in this project.</w:t>
      </w:r>
    </w:p>
    <w:p>
      <w:pPr>
        <w:pStyle w:val="Heading2"/>
      </w:pPr>
      <w:r>
        <w:rPr>
          <w:color w:val="000000"/>
        </w:rPr>
        <w:t>4.3 Container Orchestration on AWS</w:t>
      </w:r>
    </w:p>
    <w:p>
      <w:r>
        <w:rPr>
          <w:rFonts w:ascii="Times New Roman" w:hAnsi="Times New Roman"/>
          <w:b w:val="0"/>
          <w:i w:val="0"/>
          <w:sz w:val="22"/>
        </w:rPr>
        <w:t>Burns et al. (2019) trace the design of Kubernetes back to the Borg and Omega systems at Google and explain why declarative orchestration is the natural fit for cloud-native workloads. Amazon EKS, introduced in 2018, provides a managed Kubernetes control plane that integrates with AWS Identity and Access Management, the AWS Load Balancer Controller, and the Container Storage Interface drivers for Amazon Elastic Block Store and Amazon Elastic File System.</w:t>
      </w:r>
    </w:p>
    <w:p>
      <w:r>
        <w:rPr>
          <w:rFonts w:ascii="Times New Roman" w:hAnsi="Times New Roman"/>
          <w:b w:val="0"/>
          <w:i w:val="0"/>
          <w:sz w:val="22"/>
        </w:rPr>
        <w:t>Verma et al. (2021) compare Amazon EKS, Google Kubernetes Engine and Azure Kubernetes Service across operational metrics. They note that EKS trades some out-of-the-box convenience for deeper integration with the rest of AWS, and that the gap is closing as managed add-ons such as the VPC CNI, kube-proxy and CoreDNS are now installed declaratively. The AWS Well-Architected Framework's Containers Lens (Amazon Web Services, 2024) provides the canonical guidance for production EKS deployments and is the primary reference for the security and reliability decisions in this project.</w:t>
      </w:r>
    </w:p>
    <w:p>
      <w:pPr>
        <w:pStyle w:val="Heading2"/>
      </w:pPr>
      <w:r>
        <w:rPr>
          <w:color w:val="000000"/>
        </w:rPr>
        <w:t>4.4 Observability for Microservices</w:t>
      </w:r>
    </w:p>
    <w:p>
      <w:r>
        <w:rPr>
          <w:rFonts w:ascii="Times New Roman" w:hAnsi="Times New Roman"/>
          <w:b w:val="0"/>
          <w:i w:val="0"/>
          <w:sz w:val="22"/>
        </w:rPr>
        <w:t>Beyer et al. (2016), in the Google Site Reliability Engineering book, introduce the four golden signals of monitoring: latency, traffic, errors and saturation. Majors et al. (2022) extend this with the concept of observability as the ability to ask new questions of a system without shipping new code, made possible by high-cardinality, high-dimensionality telemetry. Prometheus, Grafana, Loki and Tempo together implement this model for metrics, logs and traces.</w:t>
      </w:r>
    </w:p>
    <w:p>
      <w:r>
        <w:rPr>
          <w:rFonts w:ascii="Times New Roman" w:hAnsi="Times New Roman"/>
          <w:b w:val="0"/>
          <w:i w:val="0"/>
          <w:sz w:val="22"/>
        </w:rPr>
        <w:t>Sridharan (2018) catalogues the common pitfalls of microservice monitoring, including alert fatigue, dashboards that show only infrastructure metrics, and missing service-level objectives. Their recommendations - to define SLOs per user-facing endpoint, to alert only on burn rate, and to make dashboards self-service - directly inform the observability design described in Section 6.</w:t>
      </w:r>
    </w:p>
    <w:p>
      <w:pPr>
        <w:pStyle w:val="Heading2"/>
      </w:pPr>
      <w:r>
        <w:rPr>
          <w:color w:val="000000"/>
        </w:rPr>
        <w:t>4.5 Comparative Summary</w:t>
      </w:r>
    </w:p>
    <w:p>
      <w:r>
        <w:rPr>
          <w:rFonts w:ascii="Times New Roman" w:hAnsi="Times New Roman"/>
          <w:b w:val="0"/>
          <w:i w:val="0"/>
          <w:sz w:val="22"/>
        </w:rPr>
        <w:t>Table 4.1 below summarises the comparative strengths of the technology choices made in this project against alternatives that were considered.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Concern</w:t>
            </w:r>
          </w:p>
        </w:tc>
        <w:tc>
          <w:tcPr>
            <w:tcW w:type="dxa" w:w="2351"/>
          </w:tcPr>
          <w:p>
            <w:r>
              <w:rPr>
                <w:rFonts w:ascii="Times New Roman" w:hAnsi="Times New Roman"/>
                <w:b/>
                <w:sz w:val="20"/>
              </w:rPr>
              <w:t>Selected</w:t>
            </w:r>
          </w:p>
        </w:tc>
        <w:tc>
          <w:tcPr>
            <w:tcW w:type="dxa" w:w="2351"/>
          </w:tcPr>
          <w:p>
            <w:r>
              <w:rPr>
                <w:rFonts w:ascii="Times New Roman" w:hAnsi="Times New Roman"/>
                <w:b/>
                <w:sz w:val="20"/>
              </w:rPr>
              <w:t>Alternative</w:t>
            </w:r>
          </w:p>
        </w:tc>
        <w:tc>
          <w:tcPr>
            <w:tcW w:type="dxa" w:w="2351"/>
          </w:tcPr>
          <w:p>
            <w:r>
              <w:rPr>
                <w:rFonts w:ascii="Times New Roman" w:hAnsi="Times New Roman"/>
                <w:b/>
                <w:sz w:val="20"/>
              </w:rPr>
              <w:t>Rationale</w:t>
            </w:r>
          </w:p>
        </w:tc>
      </w:tr>
      <w:tr>
        <w:tc>
          <w:tcPr>
            <w:tcW w:type="dxa" w:w="2351"/>
          </w:tcPr>
          <w:p>
            <w:r>
              <w:rPr>
                <w:rFonts w:ascii="Times New Roman" w:hAnsi="Times New Roman"/>
                <w:sz w:val="20"/>
              </w:rPr>
              <w:t>IaC</w:t>
            </w:r>
          </w:p>
        </w:tc>
        <w:tc>
          <w:tcPr>
            <w:tcW w:type="dxa" w:w="2351"/>
          </w:tcPr>
          <w:p>
            <w:r>
              <w:rPr>
                <w:rFonts w:ascii="Times New Roman" w:hAnsi="Times New Roman"/>
                <w:sz w:val="20"/>
              </w:rPr>
              <w:t>Terraform</w:t>
            </w:r>
          </w:p>
        </w:tc>
        <w:tc>
          <w:tcPr>
            <w:tcW w:type="dxa" w:w="2351"/>
          </w:tcPr>
          <w:p>
            <w:r>
              <w:rPr>
                <w:rFonts w:ascii="Times New Roman" w:hAnsi="Times New Roman"/>
                <w:sz w:val="20"/>
              </w:rPr>
              <w:t>AWS CloudFormation</w:t>
            </w:r>
          </w:p>
        </w:tc>
        <w:tc>
          <w:tcPr>
            <w:tcW w:type="dxa" w:w="2351"/>
          </w:tcPr>
          <w:p>
            <w:r>
              <w:rPr>
                <w:rFonts w:ascii="Times New Roman" w:hAnsi="Times New Roman"/>
                <w:sz w:val="20"/>
              </w:rPr>
              <w:t>Multi-cloud potential, larger module ecosystem, mature tooling.</w:t>
            </w:r>
          </w:p>
        </w:tc>
      </w:tr>
      <w:tr>
        <w:tc>
          <w:tcPr>
            <w:tcW w:type="dxa" w:w="2351"/>
          </w:tcPr>
          <w:p>
            <w:r>
              <w:rPr>
                <w:rFonts w:ascii="Times New Roman" w:hAnsi="Times New Roman"/>
                <w:sz w:val="20"/>
              </w:rPr>
              <w:t>Config Mgmt</w:t>
            </w:r>
          </w:p>
        </w:tc>
        <w:tc>
          <w:tcPr>
            <w:tcW w:type="dxa" w:w="2351"/>
          </w:tcPr>
          <w:p>
            <w:r>
              <w:rPr>
                <w:rFonts w:ascii="Times New Roman" w:hAnsi="Times New Roman"/>
                <w:sz w:val="20"/>
              </w:rPr>
              <w:t>Ansible</w:t>
            </w:r>
          </w:p>
        </w:tc>
        <w:tc>
          <w:tcPr>
            <w:tcW w:type="dxa" w:w="2351"/>
          </w:tcPr>
          <w:p>
            <w:r>
              <w:rPr>
                <w:rFonts w:ascii="Times New Roman" w:hAnsi="Times New Roman"/>
                <w:sz w:val="20"/>
              </w:rPr>
              <w:t>Chef / Puppet</w:t>
            </w:r>
          </w:p>
        </w:tc>
        <w:tc>
          <w:tcPr>
            <w:tcW w:type="dxa" w:w="2351"/>
          </w:tcPr>
          <w:p>
            <w:r>
              <w:rPr>
                <w:rFonts w:ascii="Times New Roman" w:hAnsi="Times New Roman"/>
                <w:sz w:val="20"/>
              </w:rPr>
              <w:t>Agentless, lower learning curve, complements Terraform.</w:t>
            </w:r>
          </w:p>
        </w:tc>
      </w:tr>
      <w:tr>
        <w:tc>
          <w:tcPr>
            <w:tcW w:type="dxa" w:w="2351"/>
          </w:tcPr>
          <w:p>
            <w:r>
              <w:rPr>
                <w:rFonts w:ascii="Times New Roman" w:hAnsi="Times New Roman"/>
                <w:sz w:val="20"/>
              </w:rPr>
              <w:t>Orchestration</w:t>
            </w:r>
          </w:p>
        </w:tc>
        <w:tc>
          <w:tcPr>
            <w:tcW w:type="dxa" w:w="2351"/>
          </w:tcPr>
          <w:p>
            <w:r>
              <w:rPr>
                <w:rFonts w:ascii="Times New Roman" w:hAnsi="Times New Roman"/>
                <w:sz w:val="20"/>
              </w:rPr>
              <w:t>Amazon EKS</w:t>
            </w:r>
          </w:p>
        </w:tc>
        <w:tc>
          <w:tcPr>
            <w:tcW w:type="dxa" w:w="2351"/>
          </w:tcPr>
          <w:p>
            <w:r>
              <w:rPr>
                <w:rFonts w:ascii="Times New Roman" w:hAnsi="Times New Roman"/>
                <w:sz w:val="20"/>
              </w:rPr>
              <w:t>Amazon ECS</w:t>
            </w:r>
          </w:p>
        </w:tc>
        <w:tc>
          <w:tcPr>
            <w:tcW w:type="dxa" w:w="2351"/>
          </w:tcPr>
          <w:p>
            <w:r>
              <w:rPr>
                <w:rFonts w:ascii="Times New Roman" w:hAnsi="Times New Roman"/>
                <w:sz w:val="20"/>
              </w:rPr>
              <w:t>Kubernetes ecosystem, portable workloads, broader operator availability.</w:t>
            </w:r>
          </w:p>
        </w:tc>
      </w:tr>
      <w:tr>
        <w:tc>
          <w:tcPr>
            <w:tcW w:type="dxa" w:w="2351"/>
          </w:tcPr>
          <w:p>
            <w:r>
              <w:rPr>
                <w:rFonts w:ascii="Times New Roman" w:hAnsi="Times New Roman"/>
                <w:sz w:val="20"/>
              </w:rPr>
              <w:t>Metrics</w:t>
            </w:r>
          </w:p>
        </w:tc>
        <w:tc>
          <w:tcPr>
            <w:tcW w:type="dxa" w:w="2351"/>
          </w:tcPr>
          <w:p>
            <w:r>
              <w:rPr>
                <w:rFonts w:ascii="Times New Roman" w:hAnsi="Times New Roman"/>
                <w:sz w:val="20"/>
              </w:rPr>
              <w:t>Prometheus + AMP</w:t>
            </w:r>
          </w:p>
        </w:tc>
        <w:tc>
          <w:tcPr>
            <w:tcW w:type="dxa" w:w="2351"/>
          </w:tcPr>
          <w:p>
            <w:r>
              <w:rPr>
                <w:rFonts w:ascii="Times New Roman" w:hAnsi="Times New Roman"/>
                <w:sz w:val="20"/>
              </w:rPr>
              <w:t>CloudWatch Metrics only</w:t>
            </w:r>
          </w:p>
        </w:tc>
        <w:tc>
          <w:tcPr>
            <w:tcW w:type="dxa" w:w="2351"/>
          </w:tcPr>
          <w:p>
            <w:r>
              <w:rPr>
                <w:rFonts w:ascii="Times New Roman" w:hAnsi="Times New Roman"/>
                <w:sz w:val="20"/>
              </w:rPr>
              <w:t>Open data model, rich query language, kube-native exporters.</w:t>
            </w:r>
          </w:p>
        </w:tc>
      </w:tr>
      <w:tr>
        <w:tc>
          <w:tcPr>
            <w:tcW w:type="dxa" w:w="2351"/>
          </w:tcPr>
          <w:p>
            <w:r>
              <w:rPr>
                <w:rFonts w:ascii="Times New Roman" w:hAnsi="Times New Roman"/>
                <w:sz w:val="20"/>
              </w:rPr>
              <w:t>Logs</w:t>
            </w:r>
          </w:p>
        </w:tc>
        <w:tc>
          <w:tcPr>
            <w:tcW w:type="dxa" w:w="2351"/>
          </w:tcPr>
          <w:p>
            <w:r>
              <w:rPr>
                <w:rFonts w:ascii="Times New Roman" w:hAnsi="Times New Roman"/>
                <w:sz w:val="20"/>
              </w:rPr>
              <w:t>Loki + CloudWatch</w:t>
            </w:r>
          </w:p>
        </w:tc>
        <w:tc>
          <w:tcPr>
            <w:tcW w:type="dxa" w:w="2351"/>
          </w:tcPr>
          <w:p>
            <w:r>
              <w:rPr>
                <w:rFonts w:ascii="Times New Roman" w:hAnsi="Times New Roman"/>
                <w:sz w:val="20"/>
              </w:rPr>
              <w:t>Elasticsearch</w:t>
            </w:r>
          </w:p>
        </w:tc>
        <w:tc>
          <w:tcPr>
            <w:tcW w:type="dxa" w:w="2351"/>
          </w:tcPr>
          <w:p>
            <w:r>
              <w:rPr>
                <w:rFonts w:ascii="Times New Roman" w:hAnsi="Times New Roman"/>
                <w:sz w:val="20"/>
              </w:rPr>
              <w:t>Lower cost, native Grafana integration, simpler operations.</w:t>
            </w:r>
          </w:p>
        </w:tc>
      </w:tr>
      <w:tr>
        <w:tc>
          <w:tcPr>
            <w:tcW w:type="dxa" w:w="2351"/>
          </w:tcPr>
          <w:p>
            <w:r>
              <w:rPr>
                <w:rFonts w:ascii="Times New Roman" w:hAnsi="Times New Roman"/>
                <w:sz w:val="20"/>
              </w:rPr>
              <w:t>CI/CD</w:t>
            </w:r>
          </w:p>
        </w:tc>
        <w:tc>
          <w:tcPr>
            <w:tcW w:type="dxa" w:w="2351"/>
          </w:tcPr>
          <w:p>
            <w:r>
              <w:rPr>
                <w:rFonts w:ascii="Times New Roman" w:hAnsi="Times New Roman"/>
                <w:sz w:val="20"/>
              </w:rPr>
              <w:t>GitHub Actions</w:t>
            </w:r>
          </w:p>
        </w:tc>
        <w:tc>
          <w:tcPr>
            <w:tcW w:type="dxa" w:w="2351"/>
          </w:tcPr>
          <w:p>
            <w:r>
              <w:rPr>
                <w:rFonts w:ascii="Times New Roman" w:hAnsi="Times New Roman"/>
                <w:sz w:val="20"/>
              </w:rPr>
              <w:t>Jenkins</w:t>
            </w:r>
          </w:p>
        </w:tc>
        <w:tc>
          <w:tcPr>
            <w:tcW w:type="dxa" w:w="2351"/>
          </w:tcPr>
          <w:p>
            <w:r>
              <w:rPr>
                <w:rFonts w:ascii="Times New Roman" w:hAnsi="Times New Roman"/>
                <w:sz w:val="20"/>
              </w:rPr>
              <w:t>Native to repository, OIDC to AWS, no servers to maintain.</w:t>
            </w:r>
          </w:p>
        </w:tc>
      </w:tr>
    </w:tbl>
    <w:p>
      <w:pPr>
        <w:jc w:val="center"/>
      </w:pPr>
      <w:r>
        <w:rPr>
          <w:rFonts w:ascii="Times New Roman" w:hAnsi="Times New Roman"/>
          <w:b w:val="0"/>
          <w:i/>
          <w:sz w:val="22"/>
        </w:rPr>
        <w:t>Table 4.1 - Technology choices and rationale.</w:t>
      </w:r>
    </w:p>
    <w:p>
      <w:pPr>
        <w:pStyle w:val="Heading2"/>
      </w:pPr>
      <w:r>
        <w:rPr>
          <w:color w:val="000000"/>
        </w:rPr>
        <w:t>4.6 Research Gaps</w:t>
      </w:r>
    </w:p>
    <w:p>
      <w:r>
        <w:rPr>
          <w:rFonts w:ascii="Times New Roman" w:hAnsi="Times New Roman"/>
          <w:b w:val="0"/>
          <w:i w:val="0"/>
          <w:sz w:val="22"/>
        </w:rPr>
        <w:t>Three gaps in the existing literature have shaped the design of this project. First, most Terraform tutorials stop at provisioning a single environment and do not describe the discipline of module versioning, remote state segregation, and drift detection that production work requires. Second, Ansible literature tends to treat configuration management in isolation from cloud provisioning, which leaves the boundary between Terraform and Ansible underspecified. Third, observability case studies are often written from the perspective of very large organisations with dedicated SRE teams, leaving smaller teams without an opinionated reference. This project consciously addresses all three gaps by treating provisioning, configuration and observability as a single design problem and by sizing the resulting platform for a team of three to five engineers.</w:t>
      </w:r>
    </w:p>
    <w:p>
      <w:pPr>
        <w:pStyle w:val="Heading2"/>
      </w:pPr>
      <w:r>
        <w:rPr>
          <w:color w:val="000000"/>
        </w:rPr>
        <w:t>4.7 Implications for the Design</w:t>
      </w:r>
    </w:p>
    <w:p>
      <w:r>
        <w:rPr>
          <w:rFonts w:ascii="Times New Roman" w:hAnsi="Times New Roman"/>
          <w:b w:val="0"/>
          <w:i w:val="0"/>
          <w:sz w:val="22"/>
        </w:rPr>
        <w:t>The literature directly informs four architectural decisions taken in this project. The use of a remote Terraform backend with state locking is mandatory in light of the defects reported by Guerriero et al. (2019). The principle of agentless configuration management, advocated by Hochstein and Moser (2017), is preserved by limiting Ansible to bootstrap tasks and pushing all ongoing configuration through Kubernetes manifests. The Containers Lens of the AWS Well-Architected Framework (Amazon Web Services, 2024) is used as a checklist for the EKS configuration, and the four golden signals from Beyer et al. (2016) are codified as a dashboard template that every microservice inherits.</w:t>
      </w:r>
    </w:p>
    <w:p>
      <w:r>
        <w:br w:type="page"/>
      </w:r>
    </w:p>
    <w:p>
      <w:pPr>
        <w:pStyle w:val="Heading1"/>
      </w:pPr>
      <w:r>
        <w:rPr>
          <w:color w:val="000000"/>
        </w:rPr>
        <w:t>5. Data Collection / Dataset Description</w:t>
      </w:r>
    </w:p>
    <w:p>
      <w:r>
        <w:rPr>
          <w:rFonts w:ascii="Times New Roman" w:hAnsi="Times New Roman"/>
          <w:b w:val="0"/>
          <w:i w:val="0"/>
          <w:sz w:val="22"/>
        </w:rPr>
        <w:t>Although this is primarily an infrastructure engineering project rather than a data-science project, several datasets are required in order to validate the platform end to end. They fall into three groups: an e-commerce catalog dataset for seeding the application, synthetic user traffic profiles for load testing, and operational telemetry data captured during testing for analysis.</w:t>
      </w:r>
    </w:p>
    <w:p>
      <w:pPr>
        <w:pStyle w:val="Heading2"/>
      </w:pPr>
      <w:r>
        <w:rPr>
          <w:color w:val="000000"/>
        </w:rPr>
        <w:t>5.1 E-Commerce Catalog Dataset</w:t>
      </w:r>
    </w:p>
    <w:p>
      <w:r>
        <w:rPr>
          <w:rFonts w:ascii="Times New Roman" w:hAnsi="Times New Roman"/>
          <w:b w:val="0"/>
          <w:i w:val="0"/>
          <w:sz w:val="22"/>
        </w:rPr>
        <w:t>The platform is exercised with the publicly available Brazilian E-Commerce Public Dataset by Olist (Kaggle, 2018). The dataset contains approximately 100,000 orders placed between 2016 and 2018 across multiple marketplaces in Brazil. It includes the following relations: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0"/>
              </w:rPr>
              <w:t>Table</w:t>
            </w:r>
          </w:p>
        </w:tc>
        <w:tc>
          <w:tcPr>
            <w:tcW w:type="dxa" w:w="3135"/>
          </w:tcPr>
          <w:p>
            <w:r>
              <w:rPr>
                <w:rFonts w:ascii="Times New Roman" w:hAnsi="Times New Roman"/>
                <w:b/>
                <w:sz w:val="20"/>
              </w:rPr>
              <w:t>Rows (approx.)</w:t>
            </w:r>
          </w:p>
        </w:tc>
        <w:tc>
          <w:tcPr>
            <w:tcW w:type="dxa" w:w="3135"/>
          </w:tcPr>
          <w:p>
            <w:r>
              <w:rPr>
                <w:rFonts w:ascii="Times New Roman" w:hAnsi="Times New Roman"/>
                <w:b/>
                <w:sz w:val="20"/>
              </w:rPr>
              <w:t>Description</w:t>
            </w:r>
          </w:p>
        </w:tc>
      </w:tr>
      <w:tr>
        <w:tc>
          <w:tcPr>
            <w:tcW w:type="dxa" w:w="3135"/>
          </w:tcPr>
          <w:p>
            <w:r>
              <w:rPr>
                <w:rFonts w:ascii="Times New Roman" w:hAnsi="Times New Roman"/>
                <w:sz w:val="20"/>
              </w:rPr>
              <w:t>orders</w:t>
            </w:r>
          </w:p>
        </w:tc>
        <w:tc>
          <w:tcPr>
            <w:tcW w:type="dxa" w:w="3135"/>
          </w:tcPr>
          <w:p>
            <w:r>
              <w:rPr>
                <w:rFonts w:ascii="Times New Roman" w:hAnsi="Times New Roman"/>
                <w:sz w:val="20"/>
              </w:rPr>
              <w:t>99,441</w:t>
            </w:r>
          </w:p>
        </w:tc>
        <w:tc>
          <w:tcPr>
            <w:tcW w:type="dxa" w:w="3135"/>
          </w:tcPr>
          <w:p>
            <w:r>
              <w:rPr>
                <w:rFonts w:ascii="Times New Roman" w:hAnsi="Times New Roman"/>
                <w:sz w:val="20"/>
              </w:rPr>
              <w:t>Order header data with timestamps and status.</w:t>
            </w:r>
          </w:p>
        </w:tc>
      </w:tr>
      <w:tr>
        <w:tc>
          <w:tcPr>
            <w:tcW w:type="dxa" w:w="3135"/>
          </w:tcPr>
          <w:p>
            <w:r>
              <w:rPr>
                <w:rFonts w:ascii="Times New Roman" w:hAnsi="Times New Roman"/>
                <w:sz w:val="20"/>
              </w:rPr>
              <w:t>order_items</w:t>
            </w:r>
          </w:p>
        </w:tc>
        <w:tc>
          <w:tcPr>
            <w:tcW w:type="dxa" w:w="3135"/>
          </w:tcPr>
          <w:p>
            <w:r>
              <w:rPr>
                <w:rFonts w:ascii="Times New Roman" w:hAnsi="Times New Roman"/>
                <w:sz w:val="20"/>
              </w:rPr>
              <w:t>112,650</w:t>
            </w:r>
          </w:p>
        </w:tc>
        <w:tc>
          <w:tcPr>
            <w:tcW w:type="dxa" w:w="3135"/>
          </w:tcPr>
          <w:p>
            <w:r>
              <w:rPr>
                <w:rFonts w:ascii="Times New Roman" w:hAnsi="Times New Roman"/>
                <w:sz w:val="20"/>
              </w:rPr>
              <w:t>Line items, prices and freight values.</w:t>
            </w:r>
          </w:p>
        </w:tc>
      </w:tr>
      <w:tr>
        <w:tc>
          <w:tcPr>
            <w:tcW w:type="dxa" w:w="3135"/>
          </w:tcPr>
          <w:p>
            <w:r>
              <w:rPr>
                <w:rFonts w:ascii="Times New Roman" w:hAnsi="Times New Roman"/>
                <w:sz w:val="20"/>
              </w:rPr>
              <w:t>products</w:t>
            </w:r>
          </w:p>
        </w:tc>
        <w:tc>
          <w:tcPr>
            <w:tcW w:type="dxa" w:w="3135"/>
          </w:tcPr>
          <w:p>
            <w:r>
              <w:rPr>
                <w:rFonts w:ascii="Times New Roman" w:hAnsi="Times New Roman"/>
                <w:sz w:val="20"/>
              </w:rPr>
              <w:t>32,951</w:t>
            </w:r>
          </w:p>
        </w:tc>
        <w:tc>
          <w:tcPr>
            <w:tcW w:type="dxa" w:w="3135"/>
          </w:tcPr>
          <w:p>
            <w:r>
              <w:rPr>
                <w:rFonts w:ascii="Times New Roman" w:hAnsi="Times New Roman"/>
                <w:sz w:val="20"/>
              </w:rPr>
              <w:t>Product catalog with weight, dimensions and category.</w:t>
            </w:r>
          </w:p>
        </w:tc>
      </w:tr>
      <w:tr>
        <w:tc>
          <w:tcPr>
            <w:tcW w:type="dxa" w:w="3135"/>
          </w:tcPr>
          <w:p>
            <w:r>
              <w:rPr>
                <w:rFonts w:ascii="Times New Roman" w:hAnsi="Times New Roman"/>
                <w:sz w:val="20"/>
              </w:rPr>
              <w:t>customers</w:t>
            </w:r>
          </w:p>
        </w:tc>
        <w:tc>
          <w:tcPr>
            <w:tcW w:type="dxa" w:w="3135"/>
          </w:tcPr>
          <w:p>
            <w:r>
              <w:rPr>
                <w:rFonts w:ascii="Times New Roman" w:hAnsi="Times New Roman"/>
                <w:sz w:val="20"/>
              </w:rPr>
              <w:t>99,441</w:t>
            </w:r>
          </w:p>
        </w:tc>
        <w:tc>
          <w:tcPr>
            <w:tcW w:type="dxa" w:w="3135"/>
          </w:tcPr>
          <w:p>
            <w:r>
              <w:rPr>
                <w:rFonts w:ascii="Times New Roman" w:hAnsi="Times New Roman"/>
                <w:sz w:val="20"/>
              </w:rPr>
              <w:t>Customer identifiers, zip code prefixes and city.</w:t>
            </w:r>
          </w:p>
        </w:tc>
      </w:tr>
      <w:tr>
        <w:tc>
          <w:tcPr>
            <w:tcW w:type="dxa" w:w="3135"/>
          </w:tcPr>
          <w:p>
            <w:r>
              <w:rPr>
                <w:rFonts w:ascii="Times New Roman" w:hAnsi="Times New Roman"/>
                <w:sz w:val="20"/>
              </w:rPr>
              <w:t>sellers</w:t>
            </w:r>
          </w:p>
        </w:tc>
        <w:tc>
          <w:tcPr>
            <w:tcW w:type="dxa" w:w="3135"/>
          </w:tcPr>
          <w:p>
            <w:r>
              <w:rPr>
                <w:rFonts w:ascii="Times New Roman" w:hAnsi="Times New Roman"/>
                <w:sz w:val="20"/>
              </w:rPr>
              <w:t>3,095</w:t>
            </w:r>
          </w:p>
        </w:tc>
        <w:tc>
          <w:tcPr>
            <w:tcW w:type="dxa" w:w="3135"/>
          </w:tcPr>
          <w:p>
            <w:r>
              <w:rPr>
                <w:rFonts w:ascii="Times New Roman" w:hAnsi="Times New Roman"/>
                <w:sz w:val="20"/>
              </w:rPr>
              <w:t>Seller identifiers and locations.</w:t>
            </w:r>
          </w:p>
        </w:tc>
      </w:tr>
      <w:tr>
        <w:tc>
          <w:tcPr>
            <w:tcW w:type="dxa" w:w="3135"/>
          </w:tcPr>
          <w:p>
            <w:r>
              <w:rPr>
                <w:rFonts w:ascii="Times New Roman" w:hAnsi="Times New Roman"/>
                <w:sz w:val="20"/>
              </w:rPr>
              <w:t>reviews</w:t>
            </w:r>
          </w:p>
        </w:tc>
        <w:tc>
          <w:tcPr>
            <w:tcW w:type="dxa" w:w="3135"/>
          </w:tcPr>
          <w:p>
            <w:r>
              <w:rPr>
                <w:rFonts w:ascii="Times New Roman" w:hAnsi="Times New Roman"/>
                <w:sz w:val="20"/>
              </w:rPr>
              <w:t>100,000</w:t>
            </w:r>
          </w:p>
        </w:tc>
        <w:tc>
          <w:tcPr>
            <w:tcW w:type="dxa" w:w="3135"/>
          </w:tcPr>
          <w:p>
            <w:r>
              <w:rPr>
                <w:rFonts w:ascii="Times New Roman" w:hAnsi="Times New Roman"/>
                <w:sz w:val="20"/>
              </w:rPr>
              <w:t>Review scores and free-text comments in Portuguese.</w:t>
            </w:r>
          </w:p>
        </w:tc>
      </w:tr>
      <w:tr>
        <w:tc>
          <w:tcPr>
            <w:tcW w:type="dxa" w:w="3135"/>
          </w:tcPr>
          <w:p>
            <w:r>
              <w:rPr>
                <w:rFonts w:ascii="Times New Roman" w:hAnsi="Times New Roman"/>
                <w:sz w:val="20"/>
              </w:rPr>
              <w:t>payments</w:t>
            </w:r>
          </w:p>
        </w:tc>
        <w:tc>
          <w:tcPr>
            <w:tcW w:type="dxa" w:w="3135"/>
          </w:tcPr>
          <w:p>
            <w:r>
              <w:rPr>
                <w:rFonts w:ascii="Times New Roman" w:hAnsi="Times New Roman"/>
                <w:sz w:val="20"/>
              </w:rPr>
              <w:t>103,886</w:t>
            </w:r>
          </w:p>
        </w:tc>
        <w:tc>
          <w:tcPr>
            <w:tcW w:type="dxa" w:w="3135"/>
          </w:tcPr>
          <w:p>
            <w:r>
              <w:rPr>
                <w:rFonts w:ascii="Times New Roman" w:hAnsi="Times New Roman"/>
                <w:sz w:val="20"/>
              </w:rPr>
              <w:t>Payment method, value and number of installments.</w:t>
            </w:r>
          </w:p>
        </w:tc>
      </w:tr>
    </w:tbl>
    <w:p>
      <w:pPr>
        <w:jc w:val="center"/>
      </w:pPr>
      <w:r>
        <w:rPr>
          <w:rFonts w:ascii="Times New Roman" w:hAnsi="Times New Roman"/>
          <w:b w:val="0"/>
          <w:i/>
          <w:sz w:val="22"/>
        </w:rPr>
        <w:t>Table 5.1 - Olist dataset relations used to seed the application.</w:t>
      </w:r>
    </w:p>
    <w:p>
      <w:r>
        <w:rPr>
          <w:rFonts w:ascii="Times New Roman" w:hAnsi="Times New Roman"/>
          <w:b w:val="0"/>
          <w:i w:val="0"/>
          <w:sz w:val="22"/>
        </w:rPr>
        <w:t>The dataset is loaded into the catalog and order microservices through a one-shot Kubernetes Job that runs after the first Helm release. Personally identifying information is not present in the dataset, but customer and seller identifiers are hashed once more before being stored, so that production-like volumes can be exercised without violating data protection expectations.</w:t>
      </w:r>
    </w:p>
    <w:p>
      <w:pPr>
        <w:pStyle w:val="Heading2"/>
      </w:pPr>
      <w:r>
        <w:rPr>
          <w:color w:val="000000"/>
        </w:rPr>
        <w:t>5.2 Synthetic User Traffic</w:t>
      </w:r>
    </w:p>
    <w:p>
      <w:r>
        <w:rPr>
          <w:rFonts w:ascii="Times New Roman" w:hAnsi="Times New Roman"/>
          <w:b w:val="0"/>
          <w:i w:val="0"/>
          <w:sz w:val="22"/>
        </w:rPr>
        <w:t>Functional testing is augmented with synthetic traffic generated by k6, an open-source load-testing tool. Three traffic profiles have been designed:</w:t>
      </w:r>
    </w:p>
    <w:p>
      <w:pPr>
        <w:pStyle w:val="ListBullet"/>
        <w:ind w:left="360"/>
      </w:pPr>
      <w:r>
        <w:rPr>
          <w:rFonts w:ascii="Times New Roman" w:hAnsi="Times New Roman"/>
          <w:sz w:val="22"/>
        </w:rPr>
        <w:t>Baseline browse: 100 virtual users, 10-minute steady state, exercising the home page, category pages and product detail pages.</w:t>
      </w:r>
    </w:p>
    <w:p>
      <w:pPr>
        <w:pStyle w:val="ListBullet"/>
        <w:ind w:left="360"/>
      </w:pPr>
      <w:r>
        <w:rPr>
          <w:rFonts w:ascii="Times New Roman" w:hAnsi="Times New Roman"/>
          <w:sz w:val="22"/>
        </w:rPr>
        <w:t>Cart and checkout: 250 virtual users, 30-minute steady state, simulating add-to-cart, checkout and payment flows with realistic think times.</w:t>
      </w:r>
    </w:p>
    <w:p>
      <w:pPr>
        <w:pStyle w:val="ListBullet"/>
        <w:ind w:left="360"/>
      </w:pPr>
      <w:r>
        <w:rPr>
          <w:rFonts w:ascii="Times New Roman" w:hAnsi="Times New Roman"/>
          <w:sz w:val="22"/>
        </w:rPr>
        <w:t>Flash sale: a ramp from 50 to 3,000 virtual users over five minutes, sustained for fifteen minutes, intended to trigger horizontal pod autoscaling and cluster autoscaling.</w:t>
      </w:r>
    </w:p>
    <w:p>
      <w:r>
        <w:rPr>
          <w:rFonts w:ascii="Times New Roman" w:hAnsi="Times New Roman"/>
          <w:b w:val="0"/>
          <w:i w:val="0"/>
          <w:sz w:val="22"/>
        </w:rPr>
        <w:t>Each profile is parameterised by a CSV file of session scenarios, which is itself produced by sampling the Olist orders relation. This keeps the traffic mix realistic, with long-tail product views and a small number of high-volume categories, rather than a uniform distribution.</w:t>
      </w:r>
    </w:p>
    <w:p>
      <w:pPr>
        <w:pStyle w:val="Heading2"/>
      </w:pPr>
      <w:r>
        <w:rPr>
          <w:color w:val="000000"/>
        </w:rPr>
        <w:t>5.3 Operational Telemetry</w:t>
      </w:r>
    </w:p>
    <w:p>
      <w:r>
        <w:rPr>
          <w:rFonts w:ascii="Times New Roman" w:hAnsi="Times New Roman"/>
          <w:b w:val="0"/>
          <w:i w:val="0"/>
          <w:sz w:val="22"/>
        </w:rPr>
        <w:t>The platform itself produces three classes of telemetry that are collected and analysed during the project:</w:t>
      </w:r>
    </w:p>
    <w:p>
      <w:pPr>
        <w:pStyle w:val="ListBullet"/>
        <w:ind w:left="360"/>
      </w:pPr>
      <w:r>
        <w:rPr>
          <w:rFonts w:ascii="Times New Roman" w:hAnsi="Times New Roman"/>
          <w:sz w:val="22"/>
        </w:rPr>
        <w:t>Metrics: time series collected at a 15-second resolution by Prometheus, retained for 15 days locally and forwarded to Amazon Managed Service for Prometheus for 13 months.</w:t>
      </w:r>
    </w:p>
    <w:p>
      <w:pPr>
        <w:pStyle w:val="ListBullet"/>
        <w:ind w:left="360"/>
      </w:pPr>
      <w:r>
        <w:rPr>
          <w:rFonts w:ascii="Times New Roman" w:hAnsi="Times New Roman"/>
          <w:sz w:val="22"/>
        </w:rPr>
        <w:t>Logs: structured JSON logs produced by every microservice, shipped through Promtail to Loki and to CloudWatch Logs, retained for 30 days at the hot tier and archived to S3.</w:t>
      </w:r>
    </w:p>
    <w:p>
      <w:pPr>
        <w:pStyle w:val="ListBullet"/>
        <w:ind w:left="360"/>
      </w:pPr>
      <w:r>
        <w:rPr>
          <w:rFonts w:ascii="Times New Roman" w:hAnsi="Times New Roman"/>
          <w:sz w:val="22"/>
        </w:rPr>
        <w:t>Traces: OpenTelemetry traces sampled at 5%, exported through the OpenTelemetry Collector to Grafana Tempo and to AWS X-Ray for service map visualisation.</w:t>
      </w:r>
    </w:p>
    <w:p>
      <w:r>
        <w:rPr>
          <w:rFonts w:ascii="Times New Roman" w:hAnsi="Times New Roman"/>
          <w:b w:val="0"/>
          <w:i w:val="0"/>
          <w:sz w:val="22"/>
        </w:rPr>
        <w:t>These telemetry datasets are not redistributed; they exist purely to validate the operational behaviour of the platform under the synthetic traffic profiles described above.</w:t>
      </w:r>
    </w:p>
    <w:p>
      <w:pPr>
        <w:pStyle w:val="Heading2"/>
      </w:pPr>
      <w:r>
        <w:rPr>
          <w:color w:val="000000"/>
        </w:rPr>
        <w:t>5.4 Data Preprocessing and Validation</w:t>
      </w:r>
    </w:p>
    <w:p>
      <w:r>
        <w:rPr>
          <w:rFonts w:ascii="Times New Roman" w:hAnsi="Times New Roman"/>
          <w:b w:val="0"/>
          <w:i w:val="0"/>
          <w:sz w:val="22"/>
        </w:rPr>
        <w:t>The Olist dataset is shipped as nine CSV files. Before being loaded into the catalog and order microservices, each file is processed by a small Python utility that performs schema validation with the pandera library, removes orders whose status is `unavailable` or `cancelled` from the active inventory while keeping them available for analytics, and translates the Portuguese product category names into English using the translation table provided with the dataset. The resulting normalised files are staged in an Amazon S3 bucket and are loaded into the PostgreSQL database during the platform bootstrap.</w:t>
      </w:r>
    </w:p>
    <w:p>
      <w:r>
        <w:rPr>
          <w:rFonts w:ascii="Times New Roman" w:hAnsi="Times New Roman"/>
          <w:b w:val="0"/>
          <w:i w:val="0"/>
          <w:sz w:val="22"/>
        </w:rPr>
        <w:t>Validation runs on every load and produces a JSON report describing the number of rows accepted and rejected per relation. The report is uploaded to the same S3 bucket and is also surfaced as a Grafana panel, so anomalies in successive loads are visible alongside the operational metrics of the platform.</w:t>
      </w:r>
    </w:p>
    <w:p>
      <w:pPr>
        <w:pStyle w:val="Heading2"/>
      </w:pPr>
      <w:r>
        <w:rPr>
          <w:color w:val="000000"/>
        </w:rPr>
        <w:t>5.5 Ethical Considerations</w:t>
      </w:r>
    </w:p>
    <w:p>
      <w:r>
        <w:rPr>
          <w:rFonts w:ascii="Times New Roman" w:hAnsi="Times New Roman"/>
          <w:b w:val="0"/>
          <w:i w:val="0"/>
          <w:sz w:val="22"/>
        </w:rPr>
        <w:t>The Olist dataset is published under a Creative Commons Attribution Non-Commercial Share-Alike license, which permits its use for academic research and for non-commercial demonstrations. No personally identifying information is present in the dataset, but the project still applies a one-way hash to customer and seller identifiers before storage, removes free-text review comments from any logs that may leave the AWS account, and confines all processing to AWS regions in which the project's institutional data-protection policies apply. These controls go beyond what the licence requires and are documented in the project's data-handling guide.</w:t>
      </w:r>
    </w:p>
    <w:p>
      <w:r>
        <w:br w:type="page"/>
      </w:r>
    </w:p>
    <w:p>
      <w:pPr>
        <w:pStyle w:val="Heading1"/>
      </w:pPr>
      <w:r>
        <w:rPr>
          <w:color w:val="000000"/>
        </w:rPr>
        <w:t>6. Gantt Chart / Project Timeline</w:t>
      </w:r>
    </w:p>
    <w:p>
      <w:r>
        <w:rPr>
          <w:rFonts w:ascii="Times New Roman" w:hAnsi="Times New Roman"/>
          <w:b w:val="0"/>
          <w:i w:val="0"/>
          <w:sz w:val="22"/>
        </w:rPr>
        <w:t>The project runs across two academic semesters and is broken down into ten work packages. Table 6.1 shows the schedule, and the textual Gantt chart in Figure 6.1 visualises the parallel and sequential dependencies between work packages.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ID</w:t>
            </w:r>
          </w:p>
        </w:tc>
        <w:tc>
          <w:tcPr>
            <w:tcW w:type="dxa" w:w="1881"/>
          </w:tcPr>
          <w:p>
            <w:r>
              <w:rPr>
                <w:rFonts w:ascii="Times New Roman" w:hAnsi="Times New Roman"/>
                <w:b/>
                <w:sz w:val="20"/>
              </w:rPr>
              <w:t>Work Package</w:t>
            </w:r>
          </w:p>
        </w:tc>
        <w:tc>
          <w:tcPr>
            <w:tcW w:type="dxa" w:w="1881"/>
          </w:tcPr>
          <w:p>
            <w:r>
              <w:rPr>
                <w:rFonts w:ascii="Times New Roman" w:hAnsi="Times New Roman"/>
                <w:b/>
                <w:sz w:val="20"/>
              </w:rPr>
              <w:t>Start</w:t>
            </w:r>
          </w:p>
        </w:tc>
        <w:tc>
          <w:tcPr>
            <w:tcW w:type="dxa" w:w="1881"/>
          </w:tcPr>
          <w:p>
            <w:r>
              <w:rPr>
                <w:rFonts w:ascii="Times New Roman" w:hAnsi="Times New Roman"/>
                <w:b/>
                <w:sz w:val="20"/>
              </w:rPr>
              <w:t>End</w:t>
            </w:r>
          </w:p>
        </w:tc>
        <w:tc>
          <w:tcPr>
            <w:tcW w:type="dxa" w:w="1881"/>
          </w:tcPr>
          <w:p>
            <w:r>
              <w:rPr>
                <w:rFonts w:ascii="Times New Roman" w:hAnsi="Times New Roman"/>
                <w:b/>
                <w:sz w:val="20"/>
              </w:rPr>
              <w:t>Duration (weeks)</w:t>
            </w:r>
          </w:p>
        </w:tc>
      </w:tr>
      <w:tr>
        <w:tc>
          <w:tcPr>
            <w:tcW w:type="dxa" w:w="1881"/>
          </w:tcPr>
          <w:p>
            <w:r>
              <w:rPr>
                <w:rFonts w:ascii="Times New Roman" w:hAnsi="Times New Roman"/>
                <w:sz w:val="20"/>
              </w:rPr>
              <w:t>WP1</w:t>
            </w:r>
          </w:p>
        </w:tc>
        <w:tc>
          <w:tcPr>
            <w:tcW w:type="dxa" w:w="1881"/>
          </w:tcPr>
          <w:p>
            <w:r>
              <w:rPr>
                <w:rFonts w:ascii="Times New Roman" w:hAnsi="Times New Roman"/>
                <w:sz w:val="20"/>
              </w:rPr>
              <w:t>Requirement gathering and literature review</w:t>
            </w:r>
          </w:p>
        </w:tc>
        <w:tc>
          <w:tcPr>
            <w:tcW w:type="dxa" w:w="1881"/>
          </w:tcPr>
          <w:p>
            <w:r>
              <w:rPr>
                <w:rFonts w:ascii="Times New Roman" w:hAnsi="Times New Roman"/>
                <w:sz w:val="20"/>
              </w:rPr>
              <w:t>2026-01-06</w:t>
            </w:r>
          </w:p>
        </w:tc>
        <w:tc>
          <w:tcPr>
            <w:tcW w:type="dxa" w:w="1881"/>
          </w:tcPr>
          <w:p>
            <w:r>
              <w:rPr>
                <w:rFonts w:ascii="Times New Roman" w:hAnsi="Times New Roman"/>
                <w:sz w:val="20"/>
              </w:rPr>
              <w:t>2026-01-26</w:t>
            </w:r>
          </w:p>
        </w:tc>
        <w:tc>
          <w:tcPr>
            <w:tcW w:type="dxa" w:w="1881"/>
          </w:tcPr>
          <w:p>
            <w:r>
              <w:rPr>
                <w:rFonts w:ascii="Times New Roman" w:hAnsi="Times New Roman"/>
                <w:sz w:val="20"/>
              </w:rPr>
              <w:t>3</w:t>
            </w:r>
          </w:p>
        </w:tc>
      </w:tr>
      <w:tr>
        <w:tc>
          <w:tcPr>
            <w:tcW w:type="dxa" w:w="1881"/>
          </w:tcPr>
          <w:p>
            <w:r>
              <w:rPr>
                <w:rFonts w:ascii="Times New Roman" w:hAnsi="Times New Roman"/>
                <w:sz w:val="20"/>
              </w:rPr>
              <w:t>WP2</w:t>
            </w:r>
          </w:p>
        </w:tc>
        <w:tc>
          <w:tcPr>
            <w:tcW w:type="dxa" w:w="1881"/>
          </w:tcPr>
          <w:p>
            <w:r>
              <w:rPr>
                <w:rFonts w:ascii="Times New Roman" w:hAnsi="Times New Roman"/>
                <w:sz w:val="20"/>
              </w:rPr>
              <w:t>AWS landing zone, IAM and OIDC bootstrap</w:t>
            </w:r>
          </w:p>
        </w:tc>
        <w:tc>
          <w:tcPr>
            <w:tcW w:type="dxa" w:w="1881"/>
          </w:tcPr>
          <w:p>
            <w:r>
              <w:rPr>
                <w:rFonts w:ascii="Times New Roman" w:hAnsi="Times New Roman"/>
                <w:sz w:val="20"/>
              </w:rPr>
              <w:t>2026-01-20</w:t>
            </w:r>
          </w:p>
        </w:tc>
        <w:tc>
          <w:tcPr>
            <w:tcW w:type="dxa" w:w="1881"/>
          </w:tcPr>
          <w:p>
            <w:r>
              <w:rPr>
                <w:rFonts w:ascii="Times New Roman" w:hAnsi="Times New Roman"/>
                <w:sz w:val="20"/>
              </w:rPr>
              <w:t>2026-02-09</w:t>
            </w:r>
          </w:p>
        </w:tc>
        <w:tc>
          <w:tcPr>
            <w:tcW w:type="dxa" w:w="1881"/>
          </w:tcPr>
          <w:p>
            <w:r>
              <w:rPr>
                <w:rFonts w:ascii="Times New Roman" w:hAnsi="Times New Roman"/>
                <w:sz w:val="20"/>
              </w:rPr>
              <w:t>3</w:t>
            </w:r>
          </w:p>
        </w:tc>
      </w:tr>
      <w:tr>
        <w:tc>
          <w:tcPr>
            <w:tcW w:type="dxa" w:w="1881"/>
          </w:tcPr>
          <w:p>
            <w:r>
              <w:rPr>
                <w:rFonts w:ascii="Times New Roman" w:hAnsi="Times New Roman"/>
                <w:sz w:val="20"/>
              </w:rPr>
              <w:t>WP3</w:t>
            </w:r>
          </w:p>
        </w:tc>
        <w:tc>
          <w:tcPr>
            <w:tcW w:type="dxa" w:w="1881"/>
          </w:tcPr>
          <w:p>
            <w:r>
              <w:rPr>
                <w:rFonts w:ascii="Times New Roman" w:hAnsi="Times New Roman"/>
                <w:sz w:val="20"/>
              </w:rPr>
              <w:t>Terraform module design and review</w:t>
            </w:r>
          </w:p>
        </w:tc>
        <w:tc>
          <w:tcPr>
            <w:tcW w:type="dxa" w:w="1881"/>
          </w:tcPr>
          <w:p>
            <w:r>
              <w:rPr>
                <w:rFonts w:ascii="Times New Roman" w:hAnsi="Times New Roman"/>
                <w:sz w:val="20"/>
              </w:rPr>
              <w:t>2026-02-03</w:t>
            </w:r>
          </w:p>
        </w:tc>
        <w:tc>
          <w:tcPr>
            <w:tcW w:type="dxa" w:w="1881"/>
          </w:tcPr>
          <w:p>
            <w:r>
              <w:rPr>
                <w:rFonts w:ascii="Times New Roman" w:hAnsi="Times New Roman"/>
                <w:sz w:val="20"/>
              </w:rPr>
              <w:t>2026-03-02</w:t>
            </w:r>
          </w:p>
        </w:tc>
        <w:tc>
          <w:tcPr>
            <w:tcW w:type="dxa" w:w="1881"/>
          </w:tcPr>
          <w:p>
            <w:r>
              <w:rPr>
                <w:rFonts w:ascii="Times New Roman" w:hAnsi="Times New Roman"/>
                <w:sz w:val="20"/>
              </w:rPr>
              <w:t>4</w:t>
            </w:r>
          </w:p>
        </w:tc>
      </w:tr>
      <w:tr>
        <w:tc>
          <w:tcPr>
            <w:tcW w:type="dxa" w:w="1881"/>
          </w:tcPr>
          <w:p>
            <w:r>
              <w:rPr>
                <w:rFonts w:ascii="Times New Roman" w:hAnsi="Times New Roman"/>
                <w:sz w:val="20"/>
              </w:rPr>
              <w:t>WP4</w:t>
            </w:r>
          </w:p>
        </w:tc>
        <w:tc>
          <w:tcPr>
            <w:tcW w:type="dxa" w:w="1881"/>
          </w:tcPr>
          <w:p>
            <w:r>
              <w:rPr>
                <w:rFonts w:ascii="Times New Roman" w:hAnsi="Times New Roman"/>
                <w:sz w:val="20"/>
              </w:rPr>
              <w:t>Ansible role design and review</w:t>
            </w:r>
          </w:p>
        </w:tc>
        <w:tc>
          <w:tcPr>
            <w:tcW w:type="dxa" w:w="1881"/>
          </w:tcPr>
          <w:p>
            <w:r>
              <w:rPr>
                <w:rFonts w:ascii="Times New Roman" w:hAnsi="Times New Roman"/>
                <w:sz w:val="20"/>
              </w:rPr>
              <w:t>2026-02-17</w:t>
            </w:r>
          </w:p>
        </w:tc>
        <w:tc>
          <w:tcPr>
            <w:tcW w:type="dxa" w:w="1881"/>
          </w:tcPr>
          <w:p>
            <w:r>
              <w:rPr>
                <w:rFonts w:ascii="Times New Roman" w:hAnsi="Times New Roman"/>
                <w:sz w:val="20"/>
              </w:rPr>
              <w:t>2026-03-09</w:t>
            </w:r>
          </w:p>
        </w:tc>
        <w:tc>
          <w:tcPr>
            <w:tcW w:type="dxa" w:w="1881"/>
          </w:tcPr>
          <w:p>
            <w:r>
              <w:rPr>
                <w:rFonts w:ascii="Times New Roman" w:hAnsi="Times New Roman"/>
                <w:sz w:val="20"/>
              </w:rPr>
              <w:t>3</w:t>
            </w:r>
          </w:p>
        </w:tc>
      </w:tr>
      <w:tr>
        <w:tc>
          <w:tcPr>
            <w:tcW w:type="dxa" w:w="1881"/>
          </w:tcPr>
          <w:p>
            <w:r>
              <w:rPr>
                <w:rFonts w:ascii="Times New Roman" w:hAnsi="Times New Roman"/>
                <w:sz w:val="20"/>
              </w:rPr>
              <w:t>WP5</w:t>
            </w:r>
          </w:p>
        </w:tc>
        <w:tc>
          <w:tcPr>
            <w:tcW w:type="dxa" w:w="1881"/>
          </w:tcPr>
          <w:p>
            <w:r>
              <w:rPr>
                <w:rFonts w:ascii="Times New Roman" w:hAnsi="Times New Roman"/>
                <w:sz w:val="20"/>
              </w:rPr>
              <w:t>EKS cluster provisioning and base add-ons</w:t>
            </w:r>
          </w:p>
        </w:tc>
        <w:tc>
          <w:tcPr>
            <w:tcW w:type="dxa" w:w="1881"/>
          </w:tcPr>
          <w:p>
            <w:r>
              <w:rPr>
                <w:rFonts w:ascii="Times New Roman" w:hAnsi="Times New Roman"/>
                <w:sz w:val="20"/>
              </w:rPr>
              <w:t>2026-03-02</w:t>
            </w:r>
          </w:p>
        </w:tc>
        <w:tc>
          <w:tcPr>
            <w:tcW w:type="dxa" w:w="1881"/>
          </w:tcPr>
          <w:p>
            <w:r>
              <w:rPr>
                <w:rFonts w:ascii="Times New Roman" w:hAnsi="Times New Roman"/>
                <w:sz w:val="20"/>
              </w:rPr>
              <w:t>2026-03-23</w:t>
            </w:r>
          </w:p>
        </w:tc>
        <w:tc>
          <w:tcPr>
            <w:tcW w:type="dxa" w:w="1881"/>
          </w:tcPr>
          <w:p>
            <w:r>
              <w:rPr>
                <w:rFonts w:ascii="Times New Roman" w:hAnsi="Times New Roman"/>
                <w:sz w:val="20"/>
              </w:rPr>
              <w:t>3</w:t>
            </w:r>
          </w:p>
        </w:tc>
      </w:tr>
      <w:tr>
        <w:tc>
          <w:tcPr>
            <w:tcW w:type="dxa" w:w="1881"/>
          </w:tcPr>
          <w:p>
            <w:r>
              <w:rPr>
                <w:rFonts w:ascii="Times New Roman" w:hAnsi="Times New Roman"/>
                <w:sz w:val="20"/>
              </w:rPr>
              <w:t>WP6</w:t>
            </w:r>
          </w:p>
        </w:tc>
        <w:tc>
          <w:tcPr>
            <w:tcW w:type="dxa" w:w="1881"/>
          </w:tcPr>
          <w:p>
            <w:r>
              <w:rPr>
                <w:rFonts w:ascii="Times New Roman" w:hAnsi="Times New Roman"/>
                <w:sz w:val="20"/>
              </w:rPr>
              <w:t>Application containerisation and Helm charts</w:t>
            </w:r>
          </w:p>
        </w:tc>
        <w:tc>
          <w:tcPr>
            <w:tcW w:type="dxa" w:w="1881"/>
          </w:tcPr>
          <w:p>
            <w:r>
              <w:rPr>
                <w:rFonts w:ascii="Times New Roman" w:hAnsi="Times New Roman"/>
                <w:sz w:val="20"/>
              </w:rPr>
              <w:t>2026-03-09</w:t>
            </w:r>
          </w:p>
        </w:tc>
        <w:tc>
          <w:tcPr>
            <w:tcW w:type="dxa" w:w="1881"/>
          </w:tcPr>
          <w:p>
            <w:r>
              <w:rPr>
                <w:rFonts w:ascii="Times New Roman" w:hAnsi="Times New Roman"/>
                <w:sz w:val="20"/>
              </w:rPr>
              <w:t>2026-04-06</w:t>
            </w:r>
          </w:p>
        </w:tc>
        <w:tc>
          <w:tcPr>
            <w:tcW w:type="dxa" w:w="1881"/>
          </w:tcPr>
          <w:p>
            <w:r>
              <w:rPr>
                <w:rFonts w:ascii="Times New Roman" w:hAnsi="Times New Roman"/>
                <w:sz w:val="20"/>
              </w:rPr>
              <w:t>4</w:t>
            </w:r>
          </w:p>
        </w:tc>
      </w:tr>
      <w:tr>
        <w:tc>
          <w:tcPr>
            <w:tcW w:type="dxa" w:w="1881"/>
          </w:tcPr>
          <w:p>
            <w:r>
              <w:rPr>
                <w:rFonts w:ascii="Times New Roman" w:hAnsi="Times New Roman"/>
                <w:sz w:val="20"/>
              </w:rPr>
              <w:t>WP7</w:t>
            </w:r>
          </w:p>
        </w:tc>
        <w:tc>
          <w:tcPr>
            <w:tcW w:type="dxa" w:w="1881"/>
          </w:tcPr>
          <w:p>
            <w:r>
              <w:rPr>
                <w:rFonts w:ascii="Times New Roman" w:hAnsi="Times New Roman"/>
                <w:sz w:val="20"/>
              </w:rPr>
              <w:t>CI/CD pipeline implementation</w:t>
            </w:r>
          </w:p>
        </w:tc>
        <w:tc>
          <w:tcPr>
            <w:tcW w:type="dxa" w:w="1881"/>
          </w:tcPr>
          <w:p>
            <w:r>
              <w:rPr>
                <w:rFonts w:ascii="Times New Roman" w:hAnsi="Times New Roman"/>
                <w:sz w:val="20"/>
              </w:rPr>
              <w:t>2026-03-23</w:t>
            </w:r>
          </w:p>
        </w:tc>
        <w:tc>
          <w:tcPr>
            <w:tcW w:type="dxa" w:w="1881"/>
          </w:tcPr>
          <w:p>
            <w:r>
              <w:rPr>
                <w:rFonts w:ascii="Times New Roman" w:hAnsi="Times New Roman"/>
                <w:sz w:val="20"/>
              </w:rPr>
              <w:t>2026-04-13</w:t>
            </w:r>
          </w:p>
        </w:tc>
        <w:tc>
          <w:tcPr>
            <w:tcW w:type="dxa" w:w="1881"/>
          </w:tcPr>
          <w:p>
            <w:r>
              <w:rPr>
                <w:rFonts w:ascii="Times New Roman" w:hAnsi="Times New Roman"/>
                <w:sz w:val="20"/>
              </w:rPr>
              <w:t>3</w:t>
            </w:r>
          </w:p>
        </w:tc>
      </w:tr>
      <w:tr>
        <w:tc>
          <w:tcPr>
            <w:tcW w:type="dxa" w:w="1881"/>
          </w:tcPr>
          <w:p>
            <w:r>
              <w:rPr>
                <w:rFonts w:ascii="Times New Roman" w:hAnsi="Times New Roman"/>
                <w:sz w:val="20"/>
              </w:rPr>
              <w:t>WP8</w:t>
            </w:r>
          </w:p>
        </w:tc>
        <w:tc>
          <w:tcPr>
            <w:tcW w:type="dxa" w:w="1881"/>
          </w:tcPr>
          <w:p>
            <w:r>
              <w:rPr>
                <w:rFonts w:ascii="Times New Roman" w:hAnsi="Times New Roman"/>
                <w:sz w:val="20"/>
              </w:rPr>
              <w:t>Monitoring, logging and alerting</w:t>
            </w:r>
          </w:p>
        </w:tc>
        <w:tc>
          <w:tcPr>
            <w:tcW w:type="dxa" w:w="1881"/>
          </w:tcPr>
          <w:p>
            <w:r>
              <w:rPr>
                <w:rFonts w:ascii="Times New Roman" w:hAnsi="Times New Roman"/>
                <w:sz w:val="20"/>
              </w:rPr>
              <w:t>2026-04-06</w:t>
            </w:r>
          </w:p>
        </w:tc>
        <w:tc>
          <w:tcPr>
            <w:tcW w:type="dxa" w:w="1881"/>
          </w:tcPr>
          <w:p>
            <w:r>
              <w:rPr>
                <w:rFonts w:ascii="Times New Roman" w:hAnsi="Times New Roman"/>
                <w:sz w:val="20"/>
              </w:rPr>
              <w:t>2026-04-27</w:t>
            </w:r>
          </w:p>
        </w:tc>
        <w:tc>
          <w:tcPr>
            <w:tcW w:type="dxa" w:w="1881"/>
          </w:tcPr>
          <w:p>
            <w:r>
              <w:rPr>
                <w:rFonts w:ascii="Times New Roman" w:hAnsi="Times New Roman"/>
                <w:sz w:val="20"/>
              </w:rPr>
              <w:t>3</w:t>
            </w:r>
          </w:p>
        </w:tc>
      </w:tr>
      <w:tr>
        <w:tc>
          <w:tcPr>
            <w:tcW w:type="dxa" w:w="1881"/>
          </w:tcPr>
          <w:p>
            <w:r>
              <w:rPr>
                <w:rFonts w:ascii="Times New Roman" w:hAnsi="Times New Roman"/>
                <w:sz w:val="20"/>
              </w:rPr>
              <w:t>WP9</w:t>
            </w:r>
          </w:p>
        </w:tc>
        <w:tc>
          <w:tcPr>
            <w:tcW w:type="dxa" w:w="1881"/>
          </w:tcPr>
          <w:p>
            <w:r>
              <w:rPr>
                <w:rFonts w:ascii="Times New Roman" w:hAnsi="Times New Roman"/>
                <w:sz w:val="20"/>
              </w:rPr>
              <w:t>Load testing and chaos engineering</w:t>
            </w:r>
          </w:p>
        </w:tc>
        <w:tc>
          <w:tcPr>
            <w:tcW w:type="dxa" w:w="1881"/>
          </w:tcPr>
          <w:p>
            <w:r>
              <w:rPr>
                <w:rFonts w:ascii="Times New Roman" w:hAnsi="Times New Roman"/>
                <w:sz w:val="20"/>
              </w:rPr>
              <w:t>2026-04-20</w:t>
            </w:r>
          </w:p>
        </w:tc>
        <w:tc>
          <w:tcPr>
            <w:tcW w:type="dxa" w:w="1881"/>
          </w:tcPr>
          <w:p>
            <w:r>
              <w:rPr>
                <w:rFonts w:ascii="Times New Roman" w:hAnsi="Times New Roman"/>
                <w:sz w:val="20"/>
              </w:rPr>
              <w:t>2026-05-11</w:t>
            </w:r>
          </w:p>
        </w:tc>
        <w:tc>
          <w:tcPr>
            <w:tcW w:type="dxa" w:w="1881"/>
          </w:tcPr>
          <w:p>
            <w:r>
              <w:rPr>
                <w:rFonts w:ascii="Times New Roman" w:hAnsi="Times New Roman"/>
                <w:sz w:val="20"/>
              </w:rPr>
              <w:t>3</w:t>
            </w:r>
          </w:p>
        </w:tc>
      </w:tr>
      <w:tr>
        <w:tc>
          <w:tcPr>
            <w:tcW w:type="dxa" w:w="1881"/>
          </w:tcPr>
          <w:p>
            <w:r>
              <w:rPr>
                <w:rFonts w:ascii="Times New Roman" w:hAnsi="Times New Roman"/>
                <w:sz w:val="20"/>
              </w:rPr>
              <w:t>WP10</w:t>
            </w:r>
          </w:p>
        </w:tc>
        <w:tc>
          <w:tcPr>
            <w:tcW w:type="dxa" w:w="1881"/>
          </w:tcPr>
          <w:p>
            <w:r>
              <w:rPr>
                <w:rFonts w:ascii="Times New Roman" w:hAnsi="Times New Roman"/>
                <w:sz w:val="20"/>
              </w:rPr>
              <w:t>Documentation, report and viva preparation</w:t>
            </w:r>
          </w:p>
        </w:tc>
        <w:tc>
          <w:tcPr>
            <w:tcW w:type="dxa" w:w="1881"/>
          </w:tcPr>
          <w:p>
            <w:r>
              <w:rPr>
                <w:rFonts w:ascii="Times New Roman" w:hAnsi="Times New Roman"/>
                <w:sz w:val="20"/>
              </w:rPr>
              <w:t>2026-04-27</w:t>
            </w:r>
          </w:p>
        </w:tc>
        <w:tc>
          <w:tcPr>
            <w:tcW w:type="dxa" w:w="1881"/>
          </w:tcPr>
          <w:p>
            <w:r>
              <w:rPr>
                <w:rFonts w:ascii="Times New Roman" w:hAnsi="Times New Roman"/>
                <w:sz w:val="20"/>
              </w:rPr>
              <w:t>2026-05-25</w:t>
            </w:r>
          </w:p>
        </w:tc>
        <w:tc>
          <w:tcPr>
            <w:tcW w:type="dxa" w:w="1881"/>
          </w:tcPr>
          <w:p>
            <w:r>
              <w:rPr>
                <w:rFonts w:ascii="Times New Roman" w:hAnsi="Times New Roman"/>
                <w:sz w:val="20"/>
              </w:rPr>
              <w:t>4</w:t>
            </w:r>
          </w:p>
        </w:tc>
      </w:tr>
    </w:tbl>
    <w:p>
      <w:pPr>
        <w:jc w:val="center"/>
      </w:pPr>
      <w:r>
        <w:rPr>
          <w:rFonts w:ascii="Times New Roman" w:hAnsi="Times New Roman"/>
          <w:b w:val="0"/>
          <w:i/>
          <w:sz w:val="22"/>
        </w:rPr>
        <w:t>Table 6.1 - Project work packages and schedule.</w:t>
      </w:r>
    </w:p>
    <w:p>
      <w:r>
        <w:rPr>
          <w:rFonts w:ascii="Times New Roman" w:hAnsi="Times New Roman"/>
          <w:b w:val="0"/>
          <w:i w:val="0"/>
          <w:sz w:val="22"/>
        </w:rPr>
      </w:r>
    </w:p>
    <w:p>
      <w:pPr>
        <w:jc w:val="center"/>
      </w:pPr>
      <w:r>
        <w:rPr>
          <w:rFonts w:ascii="Times New Roman" w:hAnsi="Times New Roman"/>
          <w:b w:val="0"/>
          <w:i/>
          <w:sz w:val="22"/>
        </w:rPr>
        <w:t>Figure 6.1 - Textual Gantt chart (each cell represents one week).</w:t>
      </w:r>
    </w:p>
    <w:tbl>
      <w:tblPr>
        <w:tblStyle w:val="TableGrid"/>
        <w:tblW w:type="auto" w:w="0"/>
        <w:tblLook w:firstColumn="1" w:firstRow="1" w:lastColumn="0" w:lastRow="0" w:noHBand="0" w:noVBand="1" w:val="04A0"/>
      </w:tblPr>
      <w:tblGrid>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gridCol w:w="448"/>
      </w:tblGrid>
      <w:tr>
        <w:tc>
          <w:tcPr>
            <w:tcW w:type="dxa" w:w="448"/>
          </w:tcPr>
          <w:p>
            <w:r>
              <w:rPr>
                <w:b/>
                <w:sz w:val="16"/>
              </w:rPr>
              <w:t>WP</w:t>
            </w:r>
          </w:p>
        </w:tc>
        <w:tc>
          <w:tcPr>
            <w:tcW w:type="dxa" w:w="448"/>
          </w:tcPr>
          <w:p>
            <w:r>
              <w:rPr>
                <w:b/>
                <w:sz w:val="16"/>
              </w:rPr>
              <w:t>Jan-W1</w:t>
            </w:r>
          </w:p>
        </w:tc>
        <w:tc>
          <w:tcPr>
            <w:tcW w:type="dxa" w:w="448"/>
          </w:tcPr>
          <w:p>
            <w:r>
              <w:rPr>
                <w:b/>
                <w:sz w:val="16"/>
              </w:rPr>
              <w:t>Jan-W2</w:t>
            </w:r>
          </w:p>
        </w:tc>
        <w:tc>
          <w:tcPr>
            <w:tcW w:type="dxa" w:w="448"/>
          </w:tcPr>
          <w:p>
            <w:r>
              <w:rPr>
                <w:b/>
                <w:sz w:val="16"/>
              </w:rPr>
              <w:t>Jan-W3</w:t>
            </w:r>
          </w:p>
        </w:tc>
        <w:tc>
          <w:tcPr>
            <w:tcW w:type="dxa" w:w="448"/>
          </w:tcPr>
          <w:p>
            <w:r>
              <w:rPr>
                <w:b/>
                <w:sz w:val="16"/>
              </w:rPr>
              <w:t>Jan-W4</w:t>
            </w:r>
          </w:p>
        </w:tc>
        <w:tc>
          <w:tcPr>
            <w:tcW w:type="dxa" w:w="448"/>
          </w:tcPr>
          <w:p>
            <w:r>
              <w:rPr>
                <w:b/>
                <w:sz w:val="16"/>
              </w:rPr>
              <w:t>Feb-W1</w:t>
            </w:r>
          </w:p>
        </w:tc>
        <w:tc>
          <w:tcPr>
            <w:tcW w:type="dxa" w:w="448"/>
          </w:tcPr>
          <w:p>
            <w:r>
              <w:rPr>
                <w:b/>
                <w:sz w:val="16"/>
              </w:rPr>
              <w:t>Feb-W2</w:t>
            </w:r>
          </w:p>
        </w:tc>
        <w:tc>
          <w:tcPr>
            <w:tcW w:type="dxa" w:w="448"/>
          </w:tcPr>
          <w:p>
            <w:r>
              <w:rPr>
                <w:b/>
                <w:sz w:val="16"/>
              </w:rPr>
              <w:t>Feb-W3</w:t>
            </w:r>
          </w:p>
        </w:tc>
        <w:tc>
          <w:tcPr>
            <w:tcW w:type="dxa" w:w="448"/>
          </w:tcPr>
          <w:p>
            <w:r>
              <w:rPr>
                <w:b/>
                <w:sz w:val="16"/>
              </w:rPr>
              <w:t>Feb-W4</w:t>
            </w:r>
          </w:p>
        </w:tc>
        <w:tc>
          <w:tcPr>
            <w:tcW w:type="dxa" w:w="448"/>
          </w:tcPr>
          <w:p>
            <w:r>
              <w:rPr>
                <w:b/>
                <w:sz w:val="16"/>
              </w:rPr>
              <w:t>Mar-W1</w:t>
            </w:r>
          </w:p>
        </w:tc>
        <w:tc>
          <w:tcPr>
            <w:tcW w:type="dxa" w:w="448"/>
          </w:tcPr>
          <w:p>
            <w:r>
              <w:rPr>
                <w:b/>
                <w:sz w:val="16"/>
              </w:rPr>
              <w:t>Mar-W2</w:t>
            </w:r>
          </w:p>
        </w:tc>
        <w:tc>
          <w:tcPr>
            <w:tcW w:type="dxa" w:w="448"/>
          </w:tcPr>
          <w:p>
            <w:r>
              <w:rPr>
                <w:b/>
                <w:sz w:val="16"/>
              </w:rPr>
              <w:t>Mar-W3</w:t>
            </w:r>
          </w:p>
        </w:tc>
        <w:tc>
          <w:tcPr>
            <w:tcW w:type="dxa" w:w="448"/>
          </w:tcPr>
          <w:p>
            <w:r>
              <w:rPr>
                <w:b/>
                <w:sz w:val="16"/>
              </w:rPr>
              <w:t>Mar-W4</w:t>
            </w:r>
          </w:p>
        </w:tc>
        <w:tc>
          <w:tcPr>
            <w:tcW w:type="dxa" w:w="448"/>
          </w:tcPr>
          <w:p>
            <w:r>
              <w:rPr>
                <w:b/>
                <w:sz w:val="16"/>
              </w:rPr>
              <w:t>Apr-W1</w:t>
            </w:r>
          </w:p>
        </w:tc>
        <w:tc>
          <w:tcPr>
            <w:tcW w:type="dxa" w:w="448"/>
          </w:tcPr>
          <w:p>
            <w:r>
              <w:rPr>
                <w:b/>
                <w:sz w:val="16"/>
              </w:rPr>
              <w:t>Apr-W2</w:t>
            </w:r>
          </w:p>
        </w:tc>
        <w:tc>
          <w:tcPr>
            <w:tcW w:type="dxa" w:w="448"/>
          </w:tcPr>
          <w:p>
            <w:r>
              <w:rPr>
                <w:b/>
                <w:sz w:val="16"/>
              </w:rPr>
              <w:t>Apr-W3</w:t>
            </w:r>
          </w:p>
        </w:tc>
        <w:tc>
          <w:tcPr>
            <w:tcW w:type="dxa" w:w="448"/>
          </w:tcPr>
          <w:p>
            <w:r>
              <w:rPr>
                <w:b/>
                <w:sz w:val="16"/>
              </w:rPr>
              <w:t>Apr-W4</w:t>
            </w:r>
          </w:p>
        </w:tc>
        <w:tc>
          <w:tcPr>
            <w:tcW w:type="dxa" w:w="448"/>
          </w:tcPr>
          <w:p>
            <w:r>
              <w:rPr>
                <w:b/>
                <w:sz w:val="16"/>
              </w:rPr>
              <w:t>May-W1</w:t>
            </w:r>
          </w:p>
        </w:tc>
        <w:tc>
          <w:tcPr>
            <w:tcW w:type="dxa" w:w="448"/>
          </w:tcPr>
          <w:p>
            <w:r>
              <w:rPr>
                <w:b/>
                <w:sz w:val="16"/>
              </w:rPr>
              <w:t>May-W2</w:t>
            </w:r>
          </w:p>
        </w:tc>
        <w:tc>
          <w:tcPr>
            <w:tcW w:type="dxa" w:w="448"/>
          </w:tcPr>
          <w:p>
            <w:r>
              <w:rPr>
                <w:b/>
                <w:sz w:val="16"/>
              </w:rPr>
              <w:t>May-W3</w:t>
            </w:r>
          </w:p>
        </w:tc>
        <w:tc>
          <w:tcPr>
            <w:tcW w:type="dxa" w:w="448"/>
          </w:tcPr>
          <w:p>
            <w:r>
              <w:rPr>
                <w:b/>
                <w:sz w:val="16"/>
              </w:rPr>
              <w:t>May-W4</w:t>
            </w:r>
          </w:p>
        </w:tc>
      </w:tr>
      <w:tr>
        <w:tc>
          <w:tcPr>
            <w:tcW w:type="dxa" w:w="448"/>
          </w:tcPr>
          <w:p>
            <w:r>
              <w:rPr>
                <w:b/>
                <w:sz w:val="18"/>
              </w:rPr>
              <w:t>WP1</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WP2</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WP3</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WP4</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WP5</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WP6</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WP7</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WP8</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WP9</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r>
      <w:tr>
        <w:tc>
          <w:tcPr>
            <w:tcW w:type="dxa" w:w="448"/>
          </w:tcPr>
          <w:p>
            <w:r>
              <w:rPr>
                <w:b/>
                <w:sz w:val="18"/>
              </w:rPr>
              <w:t>WP10</w:t>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c>
          <w:tcPr>
            <w:tcW w:type="dxa" w:w="448"/>
          </w:tcPr>
          <w:p>
            <w:pPr>
              <w:jc w:val="center"/>
            </w:pPr>
            <w:r>
              <w:rPr>
                <w:sz w:val="18"/>
              </w:rPr>
              <w:t>X</w:t>
            </w:r>
          </w:p>
        </w:tc>
      </w:tr>
    </w:tbl>
    <w:p>
      <w:pPr>
        <w:pStyle w:val="Heading2"/>
      </w:pPr>
      <w:r>
        <w:rPr>
          <w:color w:val="000000"/>
        </w:rPr>
        <w:t>6.1 Milestones</w:t>
      </w:r>
    </w:p>
    <w:p>
      <w:pPr>
        <w:pStyle w:val="ListBullet"/>
        <w:ind w:left="360"/>
      </w:pPr>
      <w:r>
        <w:rPr>
          <w:rFonts w:ascii="Times New Roman" w:hAnsi="Times New Roman"/>
          <w:sz w:val="22"/>
        </w:rPr>
        <w:t>M1 (2026-02-09): AWS landing zone and OIDC federation reviewed and merged.</w:t>
      </w:r>
    </w:p>
    <w:p>
      <w:pPr>
        <w:pStyle w:val="ListBullet"/>
        <w:ind w:left="360"/>
      </w:pPr>
      <w:r>
        <w:rPr>
          <w:rFonts w:ascii="Times New Roman" w:hAnsi="Times New Roman"/>
          <w:sz w:val="22"/>
        </w:rPr>
        <w:t>M2 (2026-03-02): Terraform module catalogue feature-complete for the staging environment.</w:t>
      </w:r>
    </w:p>
    <w:p>
      <w:pPr>
        <w:pStyle w:val="ListBullet"/>
        <w:ind w:left="360"/>
      </w:pPr>
      <w:r>
        <w:rPr>
          <w:rFonts w:ascii="Times New Roman" w:hAnsi="Times New Roman"/>
          <w:sz w:val="22"/>
        </w:rPr>
        <w:t>M3 (2026-03-23): EKS cluster healthy with base add-ons and ingress.</w:t>
      </w:r>
    </w:p>
    <w:p>
      <w:pPr>
        <w:pStyle w:val="ListBullet"/>
        <w:ind w:left="360"/>
      </w:pPr>
      <w:r>
        <w:rPr>
          <w:rFonts w:ascii="Times New Roman" w:hAnsi="Times New Roman"/>
          <w:sz w:val="22"/>
        </w:rPr>
        <w:t>M4 (2026-04-13): CI/CD pipeline deploying the reference application end to end.</w:t>
      </w:r>
    </w:p>
    <w:p>
      <w:pPr>
        <w:pStyle w:val="ListBullet"/>
        <w:ind w:left="360"/>
      </w:pPr>
      <w:r>
        <w:rPr>
          <w:rFonts w:ascii="Times New Roman" w:hAnsi="Times New Roman"/>
          <w:sz w:val="22"/>
        </w:rPr>
        <w:t>M5 (2026-04-27): Observability stack delivering dashboards and alerts.</w:t>
      </w:r>
    </w:p>
    <w:p>
      <w:pPr>
        <w:pStyle w:val="ListBullet"/>
        <w:ind w:left="360"/>
      </w:pPr>
      <w:r>
        <w:rPr>
          <w:rFonts w:ascii="Times New Roman" w:hAnsi="Times New Roman"/>
          <w:sz w:val="22"/>
        </w:rPr>
        <w:t>M6 (2026-05-11): Load testing and chaos engineering results documented.</w:t>
      </w:r>
    </w:p>
    <w:p>
      <w:pPr>
        <w:pStyle w:val="ListBullet"/>
        <w:ind w:left="360"/>
      </w:pPr>
      <w:r>
        <w:rPr>
          <w:rFonts w:ascii="Times New Roman" w:hAnsi="Times New Roman"/>
          <w:sz w:val="22"/>
        </w:rPr>
        <w:t>M7 (2026-05-25): Final report submitted and viva delivered.</w:t>
      </w:r>
    </w:p>
    <w:p>
      <w:pPr>
        <w:pStyle w:val="Heading2"/>
      </w:pPr>
      <w:r>
        <w:rPr>
          <w:color w:val="000000"/>
        </w:rPr>
        <w:t>6.2 Risk Register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Risk</w:t>
            </w:r>
          </w:p>
        </w:tc>
        <w:tc>
          <w:tcPr>
            <w:tcW w:type="dxa" w:w="2351"/>
          </w:tcPr>
          <w:p>
            <w:r>
              <w:rPr>
                <w:rFonts w:ascii="Times New Roman" w:hAnsi="Times New Roman"/>
                <w:b/>
                <w:sz w:val="20"/>
              </w:rPr>
              <w:t>Likelihood</w:t>
            </w:r>
          </w:p>
        </w:tc>
        <w:tc>
          <w:tcPr>
            <w:tcW w:type="dxa" w:w="2351"/>
          </w:tcPr>
          <w:p>
            <w:r>
              <w:rPr>
                <w:rFonts w:ascii="Times New Roman" w:hAnsi="Times New Roman"/>
                <w:b/>
                <w:sz w:val="20"/>
              </w:rPr>
              <w:t>Impact</w:t>
            </w:r>
          </w:p>
        </w:tc>
        <w:tc>
          <w:tcPr>
            <w:tcW w:type="dxa" w:w="2351"/>
          </w:tcPr>
          <w:p>
            <w:r>
              <w:rPr>
                <w:rFonts w:ascii="Times New Roman" w:hAnsi="Times New Roman"/>
                <w:b/>
                <w:sz w:val="20"/>
              </w:rPr>
              <w:t>Mitigation</w:t>
            </w:r>
          </w:p>
        </w:tc>
      </w:tr>
      <w:tr>
        <w:tc>
          <w:tcPr>
            <w:tcW w:type="dxa" w:w="2351"/>
          </w:tcPr>
          <w:p>
            <w:r>
              <w:rPr>
                <w:rFonts w:ascii="Times New Roman" w:hAnsi="Times New Roman"/>
                <w:sz w:val="20"/>
              </w:rPr>
              <w:t>AWS service quota limits during load tests</w:t>
            </w:r>
          </w:p>
        </w:tc>
        <w:tc>
          <w:tcPr>
            <w:tcW w:type="dxa" w:w="2351"/>
          </w:tcPr>
          <w:p>
            <w:r>
              <w:rPr>
                <w:rFonts w:ascii="Times New Roman" w:hAnsi="Times New Roman"/>
                <w:sz w:val="20"/>
              </w:rPr>
              <w:t>Medium</w:t>
            </w:r>
          </w:p>
        </w:tc>
        <w:tc>
          <w:tcPr>
            <w:tcW w:type="dxa" w:w="2351"/>
          </w:tcPr>
          <w:p>
            <w:r>
              <w:rPr>
                <w:rFonts w:ascii="Times New Roman" w:hAnsi="Times New Roman"/>
                <w:sz w:val="20"/>
              </w:rPr>
              <w:t>High</w:t>
            </w:r>
          </w:p>
        </w:tc>
        <w:tc>
          <w:tcPr>
            <w:tcW w:type="dxa" w:w="2351"/>
          </w:tcPr>
          <w:p>
            <w:r>
              <w:rPr>
                <w:rFonts w:ascii="Times New Roman" w:hAnsi="Times New Roman"/>
                <w:sz w:val="20"/>
              </w:rPr>
              <w:t>Submit quota increases two weeks ahead of WP9; verify in advance.</w:t>
            </w:r>
          </w:p>
        </w:tc>
      </w:tr>
      <w:tr>
        <w:tc>
          <w:tcPr>
            <w:tcW w:type="dxa" w:w="2351"/>
          </w:tcPr>
          <w:p>
            <w:r>
              <w:rPr>
                <w:rFonts w:ascii="Times New Roman" w:hAnsi="Times New Roman"/>
                <w:sz w:val="20"/>
              </w:rPr>
              <w:t>Cost overruns on managed services</w:t>
            </w:r>
          </w:p>
        </w:tc>
        <w:tc>
          <w:tcPr>
            <w:tcW w:type="dxa" w:w="2351"/>
          </w:tcPr>
          <w:p>
            <w:r>
              <w:rPr>
                <w:rFonts w:ascii="Times New Roman" w:hAnsi="Times New Roman"/>
                <w:sz w:val="20"/>
              </w:rPr>
              <w:t>Medium</w:t>
            </w:r>
          </w:p>
        </w:tc>
        <w:tc>
          <w:tcPr>
            <w:tcW w:type="dxa" w:w="2351"/>
          </w:tcPr>
          <w:p>
            <w:r>
              <w:rPr>
                <w:rFonts w:ascii="Times New Roman" w:hAnsi="Times New Roman"/>
                <w:sz w:val="20"/>
              </w:rPr>
              <w:t>Medium</w:t>
            </w:r>
          </w:p>
        </w:tc>
        <w:tc>
          <w:tcPr>
            <w:tcW w:type="dxa" w:w="2351"/>
          </w:tcPr>
          <w:p>
            <w:r>
              <w:rPr>
                <w:rFonts w:ascii="Times New Roman" w:hAnsi="Times New Roman"/>
                <w:sz w:val="20"/>
              </w:rPr>
              <w:t>Run Infracost on every PR and tear down environments overnight.</w:t>
            </w:r>
          </w:p>
        </w:tc>
      </w:tr>
      <w:tr>
        <w:tc>
          <w:tcPr>
            <w:tcW w:type="dxa" w:w="2351"/>
          </w:tcPr>
          <w:p>
            <w:r>
              <w:rPr>
                <w:rFonts w:ascii="Times New Roman" w:hAnsi="Times New Roman"/>
                <w:sz w:val="20"/>
              </w:rPr>
              <w:t>Delays in obtaining domain and TLS certs</w:t>
            </w:r>
          </w:p>
        </w:tc>
        <w:tc>
          <w:tcPr>
            <w:tcW w:type="dxa" w:w="2351"/>
          </w:tcPr>
          <w:p>
            <w:r>
              <w:rPr>
                <w:rFonts w:ascii="Times New Roman" w:hAnsi="Times New Roman"/>
                <w:sz w:val="20"/>
              </w:rPr>
              <w:t>Low</w:t>
            </w:r>
          </w:p>
        </w:tc>
        <w:tc>
          <w:tcPr>
            <w:tcW w:type="dxa" w:w="2351"/>
          </w:tcPr>
          <w:p>
            <w:r>
              <w:rPr>
                <w:rFonts w:ascii="Times New Roman" w:hAnsi="Times New Roman"/>
                <w:sz w:val="20"/>
              </w:rPr>
              <w:t>Medium</w:t>
            </w:r>
          </w:p>
        </w:tc>
        <w:tc>
          <w:tcPr>
            <w:tcW w:type="dxa" w:w="2351"/>
          </w:tcPr>
          <w:p>
            <w:r>
              <w:rPr>
                <w:rFonts w:ascii="Times New Roman" w:hAnsi="Times New Roman"/>
                <w:sz w:val="20"/>
              </w:rPr>
              <w:t>Use AWS Certificate Manager and pre-provision in WP2.</w:t>
            </w:r>
          </w:p>
        </w:tc>
      </w:tr>
      <w:tr>
        <w:tc>
          <w:tcPr>
            <w:tcW w:type="dxa" w:w="2351"/>
          </w:tcPr>
          <w:p>
            <w:r>
              <w:rPr>
                <w:rFonts w:ascii="Times New Roman" w:hAnsi="Times New Roman"/>
                <w:sz w:val="20"/>
              </w:rPr>
              <w:t>Tooling drift between developer machines</w:t>
            </w:r>
          </w:p>
        </w:tc>
        <w:tc>
          <w:tcPr>
            <w:tcW w:type="dxa" w:w="2351"/>
          </w:tcPr>
          <w:p>
            <w:r>
              <w:rPr>
                <w:rFonts w:ascii="Times New Roman" w:hAnsi="Times New Roman"/>
                <w:sz w:val="20"/>
              </w:rPr>
              <w:t>Medium</w:t>
            </w:r>
          </w:p>
        </w:tc>
        <w:tc>
          <w:tcPr>
            <w:tcW w:type="dxa" w:w="2351"/>
          </w:tcPr>
          <w:p>
            <w:r>
              <w:rPr>
                <w:rFonts w:ascii="Times New Roman" w:hAnsi="Times New Roman"/>
                <w:sz w:val="20"/>
              </w:rPr>
              <w:t>Low</w:t>
            </w:r>
          </w:p>
        </w:tc>
        <w:tc>
          <w:tcPr>
            <w:tcW w:type="dxa" w:w="2351"/>
          </w:tcPr>
          <w:p>
            <w:r>
              <w:rPr>
                <w:rFonts w:ascii="Times New Roman" w:hAnsi="Times New Roman"/>
                <w:sz w:val="20"/>
              </w:rPr>
              <w:t>Pin versions in tool-versions and document in CONTRIBUTING.</w:t>
            </w:r>
          </w:p>
        </w:tc>
      </w:tr>
      <w:tr>
        <w:tc>
          <w:tcPr>
            <w:tcW w:type="dxa" w:w="2351"/>
          </w:tcPr>
          <w:p>
            <w:r>
              <w:rPr>
                <w:rFonts w:ascii="Times New Roman" w:hAnsi="Times New Roman"/>
                <w:sz w:val="20"/>
              </w:rPr>
              <w:t>Knowledge silos around Kubernetes</w:t>
            </w:r>
          </w:p>
        </w:tc>
        <w:tc>
          <w:tcPr>
            <w:tcW w:type="dxa" w:w="2351"/>
          </w:tcPr>
          <w:p>
            <w:r>
              <w:rPr>
                <w:rFonts w:ascii="Times New Roman" w:hAnsi="Times New Roman"/>
                <w:sz w:val="20"/>
              </w:rPr>
              <w:t>Medium</w:t>
            </w:r>
          </w:p>
        </w:tc>
        <w:tc>
          <w:tcPr>
            <w:tcW w:type="dxa" w:w="2351"/>
          </w:tcPr>
          <w:p>
            <w:r>
              <w:rPr>
                <w:rFonts w:ascii="Times New Roman" w:hAnsi="Times New Roman"/>
                <w:sz w:val="20"/>
              </w:rPr>
              <w:t>High</w:t>
            </w:r>
          </w:p>
        </w:tc>
        <w:tc>
          <w:tcPr>
            <w:tcW w:type="dxa" w:w="2351"/>
          </w:tcPr>
          <w:p>
            <w:r>
              <w:rPr>
                <w:rFonts w:ascii="Times New Roman" w:hAnsi="Times New Roman"/>
                <w:sz w:val="20"/>
              </w:rPr>
              <w:t>Pair sessions and runbook reviews scheduled weekly.</w:t>
            </w:r>
          </w:p>
        </w:tc>
      </w:tr>
    </w:tbl>
    <w:p>
      <w:pPr>
        <w:jc w:val="center"/>
      </w:pPr>
      <w:r>
        <w:rPr>
          <w:rFonts w:ascii="Times New Roman" w:hAnsi="Times New Roman"/>
          <w:b w:val="0"/>
          <w:i/>
          <w:sz w:val="22"/>
        </w:rPr>
        <w:t>Table 6.2 - Top risks and mitigations.</w:t>
      </w:r>
    </w:p>
    <w:p>
      <w:r>
        <w:br w:type="page"/>
      </w:r>
    </w:p>
    <w:p>
      <w:pPr>
        <w:pStyle w:val="Heading1"/>
      </w:pPr>
      <w:r>
        <w:rPr>
          <w:color w:val="000000"/>
        </w:rPr>
        <w:t>7. Conclusion</w:t>
      </w:r>
    </w:p>
    <w:p>
      <w:r>
        <w:rPr>
          <w:rFonts w:ascii="Times New Roman" w:hAnsi="Times New Roman"/>
          <w:b w:val="0"/>
          <w:i w:val="0"/>
          <w:sz w:val="22"/>
        </w:rPr>
        <w:t>This progress report has presented the motivation, scope, requirements, literature review, dataset description and project timeline for the end-to-end deployment of an e-commerce application on AWS using Terraform, Ansible and Kubernetes. The work completed up to the submission of this report covers the AWS landing zone, the Terraform module catalogue for networking and EKS, the Ansible roles for bastion configuration, and a first end-to-end pipeline that deploys the reference application to a staging cluster.</w:t>
      </w:r>
    </w:p>
    <w:p>
      <w:r>
        <w:rPr>
          <w:rFonts w:ascii="Times New Roman" w:hAnsi="Times New Roman"/>
          <w:b w:val="0"/>
          <w:i w:val="0"/>
          <w:sz w:val="22"/>
        </w:rPr>
        <w:t>Several design decisions taken so far have already paid off. Adopting Terraform module versioning from day one allowed the staging and development environments to evolve in parallel without breaking each other. Routing all secrets through AWS Secrets Manager and KMS-encrypted Kubernetes secrets removed the temptation to commit credentials to git. Wiring `terraform plan`, tfsec and Checkov into the pull-request pipeline caught two security misconfigurations that would otherwise have shipped to staging. These outcomes confirm the value of the literature reviewed in Section 4 and the requirements established in Section 3.</w:t>
      </w:r>
    </w:p>
    <w:p>
      <w:r>
        <w:rPr>
          <w:rFonts w:ascii="Times New Roman" w:hAnsi="Times New Roman"/>
          <w:b w:val="0"/>
          <w:i w:val="0"/>
          <w:sz w:val="22"/>
        </w:rPr>
        <w:t>The remaining work, scheduled in Section 6, focuses on hardening the production environment, finishing the observability stack, exercising the platform under realistic load and chaos conditions, and writing the documentation that an on-call rotation will need. Particular attention will be paid to fine-tuning horizontal pod autoscaling thresholds, to verifying the recovery-time objective for an Availability Zone outage, and to producing dashboards that surface business-relevant signals such as orders per minute and payment-failure rate alongside the technical golden signals.</w:t>
      </w:r>
    </w:p>
    <w:p>
      <w:r>
        <w:rPr>
          <w:rFonts w:ascii="Times New Roman" w:hAnsi="Times New Roman"/>
          <w:b w:val="0"/>
          <w:i w:val="0"/>
          <w:sz w:val="22"/>
        </w:rPr>
        <w:t>On completion, the project will deliver a reproducible reference platform that small e-commerce teams can adopt as a starting point for their own deployments. The artefacts will include the Terraform module repository, the Ansible role repository, the Helm chart for the reference application, the GitHub Actions workflows, the Grafana dashboards, the runbooks, and a final report describing the lessons learned. Together these artefacts should make it materially easier to operate a secure, observable and elastically scalable e-commerce workload on AWS with a small team.</w:t>
      </w:r>
    </w:p>
    <w:p>
      <w:pPr>
        <w:pStyle w:val="Heading2"/>
      </w:pPr>
      <w:r>
        <w:rPr>
          <w:color w:val="000000"/>
        </w:rPr>
        <w:t>References</w:t>
      </w:r>
    </w:p>
    <w:p>
      <w:pPr>
        <w:ind w:left="576" w:hanging="576"/>
      </w:pPr>
      <w:r>
        <w:rPr>
          <w:rFonts w:ascii="Times New Roman" w:hAnsi="Times New Roman"/>
          <w:sz w:val="22"/>
        </w:rPr>
        <w:t>Amazon Web Services. (2024). AWS Well-Architected Framework: Containers Lens. Amazon Web Services.</w:t>
      </w:r>
    </w:p>
    <w:p>
      <w:pPr>
        <w:ind w:left="576" w:hanging="576"/>
      </w:pPr>
      <w:r>
        <w:rPr>
          <w:rFonts w:ascii="Times New Roman" w:hAnsi="Times New Roman"/>
          <w:sz w:val="22"/>
        </w:rPr>
        <w:t>Beyer, B., Jones, C., Petoff, J., &amp; Murphy, N. R. (2016). Site Reliability Engineering: How Google Runs Production Systems. O'Reilly Media.</w:t>
      </w:r>
    </w:p>
    <w:p>
      <w:pPr>
        <w:ind w:left="576" w:hanging="576"/>
      </w:pPr>
      <w:r>
        <w:rPr>
          <w:rFonts w:ascii="Times New Roman" w:hAnsi="Times New Roman"/>
          <w:sz w:val="22"/>
        </w:rPr>
        <w:t>Brikman, Y. (2022). Terraform: Up &amp; Running (3rd ed.). O'Reilly Media.</w:t>
      </w:r>
    </w:p>
    <w:p>
      <w:pPr>
        <w:ind w:left="576" w:hanging="576"/>
      </w:pPr>
      <w:r>
        <w:rPr>
          <w:rFonts w:ascii="Times New Roman" w:hAnsi="Times New Roman"/>
          <w:sz w:val="22"/>
        </w:rPr>
        <w:t>Burns, B., Grant, B., Oppenheimer, D., Brewer, E., &amp; Wilkes, J. (2019). Borg, Omega, and Kubernetes. ACM Queue, 17(1).</w:t>
      </w:r>
    </w:p>
    <w:p>
      <w:pPr>
        <w:ind w:left="576" w:hanging="576"/>
      </w:pPr>
      <w:r>
        <w:rPr>
          <w:rFonts w:ascii="Times New Roman" w:hAnsi="Times New Roman"/>
          <w:sz w:val="22"/>
        </w:rPr>
        <w:t>Guerriero, M., Garriga, M., Tamburri, D. A., &amp; Palomba, F. (2019). Adoption, support, and challenges of Infrastructure-as-Code: Insights from industry. ICSME 2019.</w:t>
      </w:r>
    </w:p>
    <w:p>
      <w:pPr>
        <w:ind w:left="576" w:hanging="576"/>
      </w:pPr>
      <w:r>
        <w:rPr>
          <w:rFonts w:ascii="Times New Roman" w:hAnsi="Times New Roman"/>
          <w:sz w:val="22"/>
        </w:rPr>
        <w:t>Hochstein, L., &amp; Moser, R. (2017). Ansible: Up &amp; Running (2nd ed.). O'Reilly Media.</w:t>
      </w:r>
    </w:p>
    <w:p>
      <w:pPr>
        <w:ind w:left="576" w:hanging="576"/>
      </w:pPr>
      <w:r>
        <w:rPr>
          <w:rFonts w:ascii="Times New Roman" w:hAnsi="Times New Roman"/>
          <w:sz w:val="22"/>
        </w:rPr>
        <w:t>Kaggle. (2018). Brazilian E-Commerce Public Dataset by Olist. Retrieved from kaggle.com/olistbr/brazilian-ecommerce.</w:t>
      </w:r>
    </w:p>
    <w:p>
      <w:pPr>
        <w:ind w:left="576" w:hanging="576"/>
      </w:pPr>
      <w:r>
        <w:rPr>
          <w:rFonts w:ascii="Times New Roman" w:hAnsi="Times New Roman"/>
          <w:sz w:val="22"/>
        </w:rPr>
        <w:t>Majors, C., Fong-Jones, L., &amp; Miranda, G. (2022). Observability Engineering. O'Reilly Media.</w:t>
      </w:r>
    </w:p>
    <w:p>
      <w:pPr>
        <w:ind w:left="576" w:hanging="576"/>
      </w:pPr>
      <w:r>
        <w:rPr>
          <w:rFonts w:ascii="Times New Roman" w:hAnsi="Times New Roman"/>
          <w:sz w:val="22"/>
        </w:rPr>
        <w:t>Morris, K. (2020). Infrastructure as Code (2nd ed.). O'Reilly Media.</w:t>
      </w:r>
    </w:p>
    <w:p>
      <w:pPr>
        <w:ind w:left="576" w:hanging="576"/>
      </w:pPr>
      <w:r>
        <w:rPr>
          <w:rFonts w:ascii="Times New Roman" w:hAnsi="Times New Roman"/>
          <w:sz w:val="22"/>
        </w:rPr>
        <w:t>Sridharan, C. (2018). Distributed Systems Observability. O'Reilly Media.</w:t>
      </w:r>
    </w:p>
    <w:p>
      <w:pPr>
        <w:ind w:left="576" w:hanging="576"/>
      </w:pPr>
      <w:r>
        <w:rPr>
          <w:rFonts w:ascii="Times New Roman" w:hAnsi="Times New Roman"/>
          <w:sz w:val="22"/>
        </w:rPr>
        <w:t>Verma, A., Shukla, S., &amp; Singh, R. (2021). A comparative study of managed Kubernetes services on public cloud platforms. International Journal of Cloud Computing, 10(3).</w:t>
      </w:r>
    </w:p>
    <w:p>
      <w:r>
        <w:br w:type="page"/>
      </w:r>
    </w:p>
    <w:p>
      <w:pPr>
        <w:pStyle w:val="Heading1"/>
      </w:pPr>
      <w:r>
        <w:rPr>
          <w:color w:val="000000"/>
        </w:rPr>
        <w:t>Appendix 1: Global Certification Score Card</w:t>
      </w:r>
    </w:p>
    <w:p>
      <w:r>
        <w:rPr>
          <w:rFonts w:ascii="Times New Roman" w:hAnsi="Times New Roman"/>
          <w:b w:val="0"/>
          <w:i w:val="0"/>
          <w:sz w:val="22"/>
        </w:rPr>
        <w:t>The candidate has pursued cloud and DevOps certifications relevant to the scope of this project. The score card below is to be filled in by the candidate prior to final submission.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Certification</w:t>
            </w:r>
          </w:p>
        </w:tc>
        <w:tc>
          <w:tcPr>
            <w:tcW w:type="dxa" w:w="2351"/>
          </w:tcPr>
          <w:p>
            <w:r>
              <w:rPr>
                <w:rFonts w:ascii="Times New Roman" w:hAnsi="Times New Roman"/>
                <w:b/>
                <w:sz w:val="20"/>
              </w:rPr>
              <w:t>Provider</w:t>
            </w:r>
          </w:p>
        </w:tc>
        <w:tc>
          <w:tcPr>
            <w:tcW w:type="dxa" w:w="2351"/>
          </w:tcPr>
          <w:p>
            <w:r>
              <w:rPr>
                <w:rFonts w:ascii="Times New Roman" w:hAnsi="Times New Roman"/>
                <w:b/>
                <w:sz w:val="20"/>
              </w:rPr>
              <w:t>Date</w:t>
            </w:r>
          </w:p>
        </w:tc>
        <w:tc>
          <w:tcPr>
            <w:tcW w:type="dxa" w:w="2351"/>
          </w:tcPr>
          <w:p>
            <w:r>
              <w:rPr>
                <w:rFonts w:ascii="Times New Roman" w:hAnsi="Times New Roman"/>
                <w:b/>
                <w:sz w:val="20"/>
              </w:rPr>
              <w:t>Score / Result</w:t>
            </w:r>
          </w:p>
        </w:tc>
      </w:tr>
      <w:tr>
        <w:tc>
          <w:tcPr>
            <w:tcW w:type="dxa" w:w="2351"/>
          </w:tcPr>
          <w:p>
            <w:r>
              <w:rPr>
                <w:rFonts w:ascii="Times New Roman" w:hAnsi="Times New Roman"/>
                <w:sz w:val="20"/>
              </w:rPr>
              <w:t>AWS Certified Solutions Architect - Associate</w:t>
            </w:r>
          </w:p>
        </w:tc>
        <w:tc>
          <w:tcPr>
            <w:tcW w:type="dxa" w:w="2351"/>
          </w:tcPr>
          <w:p>
            <w:r>
              <w:rPr>
                <w:rFonts w:ascii="Times New Roman" w:hAnsi="Times New Roman"/>
                <w:sz w:val="20"/>
              </w:rPr>
              <w:t>Amazon Web Services</w:t>
            </w:r>
          </w:p>
        </w:tc>
        <w:tc>
          <w:tcPr>
            <w:tcW w:type="dxa" w:w="2351"/>
          </w:tcPr>
          <w:p>
            <w:r>
              <w:rPr>
                <w:rFonts w:ascii="Times New Roman" w:hAnsi="Times New Roman"/>
                <w:sz w:val="20"/>
              </w:rPr>
              <w:t>&lt;DD-MM-YYYY&gt;</w:t>
            </w:r>
          </w:p>
        </w:tc>
        <w:tc>
          <w:tcPr>
            <w:tcW w:type="dxa" w:w="2351"/>
          </w:tcPr>
          <w:p>
            <w:r>
              <w:rPr>
                <w:rFonts w:ascii="Times New Roman" w:hAnsi="Times New Roman"/>
                <w:sz w:val="20"/>
              </w:rPr>
              <w:t>&lt;Score&gt;</w:t>
            </w:r>
          </w:p>
        </w:tc>
      </w:tr>
      <w:tr>
        <w:tc>
          <w:tcPr>
            <w:tcW w:type="dxa" w:w="2351"/>
          </w:tcPr>
          <w:p>
            <w:r>
              <w:rPr>
                <w:rFonts w:ascii="Times New Roman" w:hAnsi="Times New Roman"/>
                <w:sz w:val="20"/>
              </w:rPr>
              <w:t>AWS Certified DevOps Engineer - Professional</w:t>
            </w:r>
          </w:p>
        </w:tc>
        <w:tc>
          <w:tcPr>
            <w:tcW w:type="dxa" w:w="2351"/>
          </w:tcPr>
          <w:p>
            <w:r>
              <w:rPr>
                <w:rFonts w:ascii="Times New Roman" w:hAnsi="Times New Roman"/>
                <w:sz w:val="20"/>
              </w:rPr>
              <w:t>Amazon Web Services</w:t>
            </w:r>
          </w:p>
        </w:tc>
        <w:tc>
          <w:tcPr>
            <w:tcW w:type="dxa" w:w="2351"/>
          </w:tcPr>
          <w:p>
            <w:r>
              <w:rPr>
                <w:rFonts w:ascii="Times New Roman" w:hAnsi="Times New Roman"/>
                <w:sz w:val="20"/>
              </w:rPr>
              <w:t>&lt;DD-MM-YYYY&gt;</w:t>
            </w:r>
          </w:p>
        </w:tc>
        <w:tc>
          <w:tcPr>
            <w:tcW w:type="dxa" w:w="2351"/>
          </w:tcPr>
          <w:p>
            <w:r>
              <w:rPr>
                <w:rFonts w:ascii="Times New Roman" w:hAnsi="Times New Roman"/>
                <w:sz w:val="20"/>
              </w:rPr>
              <w:t>&lt;Score&gt;</w:t>
            </w:r>
          </w:p>
        </w:tc>
      </w:tr>
      <w:tr>
        <w:tc>
          <w:tcPr>
            <w:tcW w:type="dxa" w:w="2351"/>
          </w:tcPr>
          <w:p>
            <w:r>
              <w:rPr>
                <w:rFonts w:ascii="Times New Roman" w:hAnsi="Times New Roman"/>
                <w:sz w:val="20"/>
              </w:rPr>
              <w:t>Certified Kubernetes Administrator (CKA)</w:t>
            </w:r>
          </w:p>
        </w:tc>
        <w:tc>
          <w:tcPr>
            <w:tcW w:type="dxa" w:w="2351"/>
          </w:tcPr>
          <w:p>
            <w:r>
              <w:rPr>
                <w:rFonts w:ascii="Times New Roman" w:hAnsi="Times New Roman"/>
                <w:sz w:val="20"/>
              </w:rPr>
              <w:t>Cloud Native Computing Foundation</w:t>
            </w:r>
          </w:p>
        </w:tc>
        <w:tc>
          <w:tcPr>
            <w:tcW w:type="dxa" w:w="2351"/>
          </w:tcPr>
          <w:p>
            <w:r>
              <w:rPr>
                <w:rFonts w:ascii="Times New Roman" w:hAnsi="Times New Roman"/>
                <w:sz w:val="20"/>
              </w:rPr>
              <w:t>&lt;DD-MM-YYYY&gt;</w:t>
            </w:r>
          </w:p>
        </w:tc>
        <w:tc>
          <w:tcPr>
            <w:tcW w:type="dxa" w:w="2351"/>
          </w:tcPr>
          <w:p>
            <w:r>
              <w:rPr>
                <w:rFonts w:ascii="Times New Roman" w:hAnsi="Times New Roman"/>
                <w:sz w:val="20"/>
              </w:rPr>
              <w:t>&lt;Score&gt;</w:t>
            </w:r>
          </w:p>
        </w:tc>
      </w:tr>
      <w:tr>
        <w:tc>
          <w:tcPr>
            <w:tcW w:type="dxa" w:w="2351"/>
          </w:tcPr>
          <w:p>
            <w:r>
              <w:rPr>
                <w:rFonts w:ascii="Times New Roman" w:hAnsi="Times New Roman"/>
                <w:sz w:val="20"/>
              </w:rPr>
              <w:t>HashiCorp Certified: Terraform Associate</w:t>
            </w:r>
          </w:p>
        </w:tc>
        <w:tc>
          <w:tcPr>
            <w:tcW w:type="dxa" w:w="2351"/>
          </w:tcPr>
          <w:p>
            <w:r>
              <w:rPr>
                <w:rFonts w:ascii="Times New Roman" w:hAnsi="Times New Roman"/>
                <w:sz w:val="20"/>
              </w:rPr>
              <w:t>HashiCorp</w:t>
            </w:r>
          </w:p>
        </w:tc>
        <w:tc>
          <w:tcPr>
            <w:tcW w:type="dxa" w:w="2351"/>
          </w:tcPr>
          <w:p>
            <w:r>
              <w:rPr>
                <w:rFonts w:ascii="Times New Roman" w:hAnsi="Times New Roman"/>
                <w:sz w:val="20"/>
              </w:rPr>
              <w:t>&lt;DD-MM-YYYY&gt;</w:t>
            </w:r>
          </w:p>
        </w:tc>
        <w:tc>
          <w:tcPr>
            <w:tcW w:type="dxa" w:w="2351"/>
          </w:tcPr>
          <w:p>
            <w:r>
              <w:rPr>
                <w:rFonts w:ascii="Times New Roman" w:hAnsi="Times New Roman"/>
                <w:sz w:val="20"/>
              </w:rPr>
              <w:t>&lt;Score&gt;</w:t>
            </w:r>
          </w:p>
        </w:tc>
      </w:tr>
      <w:tr>
        <w:tc>
          <w:tcPr>
            <w:tcW w:type="dxa" w:w="2351"/>
          </w:tcPr>
          <w:p>
            <w:r>
              <w:rPr>
                <w:rFonts w:ascii="Times New Roman" w:hAnsi="Times New Roman"/>
                <w:sz w:val="20"/>
              </w:rPr>
              <w:t>Red Hat Certified Specialist in Ansible Automation</w:t>
            </w:r>
          </w:p>
        </w:tc>
        <w:tc>
          <w:tcPr>
            <w:tcW w:type="dxa" w:w="2351"/>
          </w:tcPr>
          <w:p>
            <w:r>
              <w:rPr>
                <w:rFonts w:ascii="Times New Roman" w:hAnsi="Times New Roman"/>
                <w:sz w:val="20"/>
              </w:rPr>
              <w:t>Red Hat</w:t>
            </w:r>
          </w:p>
        </w:tc>
        <w:tc>
          <w:tcPr>
            <w:tcW w:type="dxa" w:w="2351"/>
          </w:tcPr>
          <w:p>
            <w:r>
              <w:rPr>
                <w:rFonts w:ascii="Times New Roman" w:hAnsi="Times New Roman"/>
                <w:sz w:val="20"/>
              </w:rPr>
              <w:t>&lt;DD-MM-YYYY&gt;</w:t>
            </w:r>
          </w:p>
        </w:tc>
        <w:tc>
          <w:tcPr>
            <w:tcW w:type="dxa" w:w="2351"/>
          </w:tcPr>
          <w:p>
            <w:r>
              <w:rPr>
                <w:rFonts w:ascii="Times New Roman" w:hAnsi="Times New Roman"/>
                <w:sz w:val="20"/>
              </w:rPr>
              <w:t>&lt;Score&gt;</w:t>
            </w:r>
          </w:p>
        </w:tc>
      </w:tr>
    </w:tbl>
    <w:p>
      <w:r>
        <w:br w:type="page"/>
      </w:r>
    </w:p>
    <w:p>
      <w:pPr>
        <w:pStyle w:val="Heading1"/>
      </w:pPr>
      <w:r>
        <w:rPr>
          <w:color w:val="000000"/>
        </w:rPr>
        <w:t>Appendix 2: Company Profile</w:t>
      </w:r>
    </w:p>
    <w:p>
      <w:r>
        <w:rPr>
          <w:rFonts w:ascii="Times New Roman" w:hAnsi="Times New Roman"/>
          <w:b w:val="0"/>
          <w:i w:val="0"/>
          <w:sz w:val="22"/>
        </w:rPr>
        <w:t>This appendix describes the company under whose guidance the project is being carried out. The candidate should replace the placeholder content below with details specific to the host organisation prior to final submission.</w:t>
      </w:r>
    </w:p>
    <w:p>
      <w:r>
        <w:rPr>
          <w:rFonts w:ascii="Times New Roman" w:hAnsi="Times New Roman"/>
          <w:b/>
          <w:i w:val="0"/>
          <w:sz w:val="22"/>
        </w:rPr>
        <w:t>Company Name: &lt;Company Name&gt;</w:t>
      </w:r>
    </w:p>
    <w:p>
      <w:r>
        <w:rPr>
          <w:rFonts w:ascii="Times New Roman" w:hAnsi="Times New Roman"/>
          <w:b w:val="0"/>
          <w:i w:val="0"/>
          <w:sz w:val="22"/>
        </w:rPr>
        <w:t>Headquarters: &lt;City, Country&gt;</w:t>
      </w:r>
    </w:p>
    <w:p>
      <w:r>
        <w:rPr>
          <w:rFonts w:ascii="Times New Roman" w:hAnsi="Times New Roman"/>
          <w:b w:val="0"/>
          <w:i w:val="0"/>
          <w:sz w:val="22"/>
        </w:rPr>
        <w:t>Industry: &lt;Industry segment&gt;</w:t>
      </w:r>
    </w:p>
    <w:p>
      <w:r>
        <w:rPr>
          <w:rFonts w:ascii="Times New Roman" w:hAnsi="Times New Roman"/>
          <w:b w:val="0"/>
          <w:i w:val="0"/>
          <w:sz w:val="22"/>
        </w:rPr>
        <w:t>Founded: &lt;Year&gt;</w:t>
      </w:r>
    </w:p>
    <w:p>
      <w:r>
        <w:rPr>
          <w:rFonts w:ascii="Times New Roman" w:hAnsi="Times New Roman"/>
          <w:b w:val="0"/>
          <w:i w:val="0"/>
          <w:sz w:val="22"/>
        </w:rPr>
        <w:t>Employees: &lt;Number&gt;</w:t>
      </w:r>
    </w:p>
    <w:p>
      <w:r>
        <w:rPr>
          <w:rFonts w:ascii="Times New Roman" w:hAnsi="Times New Roman"/>
          <w:b w:val="0"/>
          <w:i w:val="0"/>
          <w:sz w:val="22"/>
        </w:rPr>
        <w:t>Website: &lt;https://example.com&gt;</w:t>
      </w:r>
    </w:p>
    <w:p>
      <w:r>
        <w:rPr>
          <w:rFonts w:ascii="Times New Roman" w:hAnsi="Times New Roman"/>
          <w:b w:val="0"/>
          <w:i w:val="0"/>
          <w:sz w:val="22"/>
        </w:rPr>
        <w:t>Overview: &lt;Provide a brief overview of the company, its mission, its products, its key customers, and its engineering culture. Highlight in particular the cloud and DevOps practices in use, since these are directly relevant to the project being undertaken.&gt;</w:t>
      </w:r>
    </w:p>
    <w:p>
      <w:r>
        <w:rPr>
          <w:rFonts w:ascii="Times New Roman" w:hAnsi="Times New Roman"/>
          <w:b w:val="0"/>
          <w:i w:val="0"/>
          <w:sz w:val="22"/>
        </w:rPr>
        <w:t>Team Structure: &lt;Describe the team within the company that the candidate is embedded with, the reporting lines, and the role the candidate plays in the day-to-day work.&gt;</w:t>
      </w:r>
    </w:p>
    <w:p>
      <w:r>
        <w:rPr>
          <w:rFonts w:ascii="Times New Roman" w:hAnsi="Times New Roman"/>
          <w:b w:val="0"/>
          <w:i w:val="0"/>
          <w:sz w:val="22"/>
        </w:rPr>
        <w:t>Project Sponsorship: &lt;Identify the executive sponsor and the operational owner of the project. Briefly describe how project outcomes will be consumed within the organisation.&gt;</w:t>
      </w:r>
    </w:p>
    <w:p>
      <w:r>
        <w:br w:type="page"/>
      </w:r>
    </w:p>
    <w:p>
      <w:pPr>
        <w:pStyle w:val="Heading1"/>
      </w:pPr>
      <w:r>
        <w:rPr>
          <w:color w:val="000000"/>
        </w:rPr>
        <w:t>Appendix 3: Research Paper Abstract / Paper</w:t>
      </w:r>
    </w:p>
    <w:p>
      <w:r>
        <w:rPr>
          <w:rFonts w:ascii="Times New Roman" w:hAnsi="Times New Roman"/>
          <w:b/>
          <w:i w:val="0"/>
          <w:sz w:val="22"/>
        </w:rPr>
        <w:t>Title: &lt;Title of the research paper to be submitted&gt;</w:t>
      </w:r>
    </w:p>
    <w:p>
      <w:r>
        <w:rPr>
          <w:rFonts w:ascii="Times New Roman" w:hAnsi="Times New Roman"/>
          <w:b/>
          <w:i w:val="0"/>
          <w:sz w:val="22"/>
        </w:rPr>
        <w:t>Authors: &lt;Candidate Name, Guide Name&gt;</w:t>
      </w:r>
    </w:p>
    <w:p>
      <w:r>
        <w:rPr>
          <w:rFonts w:ascii="Times New Roman" w:hAnsi="Times New Roman"/>
          <w:b/>
          <w:i w:val="0"/>
          <w:sz w:val="22"/>
        </w:rPr>
        <w:t>Target Venue: &lt;Conference / Journal Name&gt;</w:t>
      </w:r>
    </w:p>
    <w:p>
      <w:r>
        <w:rPr>
          <w:rFonts w:ascii="Times New Roman" w:hAnsi="Times New Roman"/>
          <w:b/>
          <w:i w:val="0"/>
          <w:sz w:val="22"/>
        </w:rPr>
        <w:t>Status: &lt;Drafting / Submitted / Under Review / Accepted&gt;</w:t>
      </w:r>
    </w:p>
    <w:p>
      <w:pPr>
        <w:pStyle w:val="Heading2"/>
      </w:pPr>
      <w:r>
        <w:rPr>
          <w:color w:val="000000"/>
        </w:rPr>
        <w:t>Abstract</w:t>
      </w:r>
    </w:p>
    <w:p>
      <w:r>
        <w:rPr>
          <w:rFonts w:ascii="Times New Roman" w:hAnsi="Times New Roman"/>
          <w:b w:val="0"/>
          <w:i w:val="0"/>
          <w:sz w:val="22"/>
        </w:rPr>
        <w:t>We present a reproducible reference architecture for deploying a containerized e-commerce application on Amazon Web Services using Terraform for infrastructure provisioning, Ansible for configuration management, Amazon Elastic Kubernetes Service for container orchestration, and a Prometheus, Grafana and Loki stack for observability. The architecture is built around a small set of opinionated Terraform modules and Ansible roles, all of which are versioned and tested through a GitHub Actions pipeline that runs `terraform plan`, tfsec, Checkov, unit tests and image scans on every pull request. We seed the platform with the publicly available Olist Brazilian e-commerce dataset and exercise it under three synthetic load profiles, including a flash-sale ramp from fifty to three thousand concurrent users. We report on the trade-offs encountered between managed and self-hosted services, on the impact of horizontal pod autoscaling settings on tail latency, and on the operational ergonomics of the resulting platform. Our results suggest that small engineering teams can achieve the four golden signals of monitoring and a 99.9% availability target without bespoke tooling, provided that infrastructure as code, configuration management and observability are designed as a single coherent system from the outset.</w:t>
      </w:r>
    </w:p>
    <w:p>
      <w:r>
        <w:rPr>
          <w:rFonts w:ascii="Times New Roman" w:hAnsi="Times New Roman"/>
          <w:b w:val="0"/>
          <w:i/>
          <w:sz w:val="22"/>
        </w:rPr>
        <w:t>Keywords: AWS; Terraform; Ansible; Kubernetes; EKS; DevOps; Observability; E-Commerce.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